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D06" w:rsidRDefault="008B3477" w:rsidP="007F4D06">
      <w:pPr>
        <w:tabs>
          <w:tab w:val="left" w:pos="1284"/>
        </w:tabs>
        <w:rPr>
          <w:rFonts w:ascii="Arial" w:hAnsi="Arial" w:cs="Arial"/>
          <w:b/>
          <w:sz w:val="22"/>
          <w:szCs w:val="28"/>
        </w:rPr>
      </w:pPr>
      <w:r w:rsidRPr="00797710">
        <w:rPr>
          <w:rFonts w:ascii="Arial" w:hAnsi="Arial" w:cs="Arial"/>
          <w:b/>
          <w:noProof/>
          <w:sz w:val="22"/>
          <w:szCs w:val="28"/>
          <w:lang w:val="en-CA" w:eastAsia="en-CA"/>
        </w:rPr>
        <mc:AlternateContent>
          <mc:Choice Requires="wps">
            <w:drawing>
              <wp:anchor distT="0" distB="0" distL="114300" distR="114300" simplePos="0" relativeHeight="251660288" behindDoc="0" locked="0" layoutInCell="1" allowOverlap="1" wp14:anchorId="28E6B893" wp14:editId="3643A443">
                <wp:simplePos x="0" y="0"/>
                <wp:positionH relativeFrom="column">
                  <wp:posOffset>327660</wp:posOffset>
                </wp:positionH>
                <wp:positionV relativeFrom="paragraph">
                  <wp:posOffset>-847</wp:posOffset>
                </wp:positionV>
                <wp:extent cx="4937760"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403985"/>
                        </a:xfrm>
                        <a:prstGeom prst="rect">
                          <a:avLst/>
                        </a:prstGeom>
                        <a:noFill/>
                        <a:ln w="9525">
                          <a:noFill/>
                          <a:miter lim="800000"/>
                          <a:headEnd/>
                          <a:tailEnd/>
                        </a:ln>
                      </wps:spPr>
                      <wps:txbx>
                        <w:txbxContent>
                          <w:p w:rsidR="00407656" w:rsidRPr="008B3477" w:rsidRDefault="008B3477" w:rsidP="00797710">
                            <w:pPr>
                              <w:ind w:left="360"/>
                              <w:jc w:val="center"/>
                              <w:rPr>
                                <w:rFonts w:ascii="Arial" w:hAnsi="Arial" w:cs="Arial"/>
                                <w:b/>
                                <w:color w:val="FFFFFF" w:themeColor="background1"/>
                                <w:sz w:val="32"/>
                                <w:lang w:val="fr-CA"/>
                              </w:rPr>
                            </w:pPr>
                            <w:r w:rsidRPr="008B3477">
                              <w:rPr>
                                <w:rFonts w:ascii="Arial" w:hAnsi="Arial" w:cs="Arial"/>
                                <w:b/>
                                <w:color w:val="FFFFFF" w:themeColor="background1"/>
                                <w:sz w:val="32"/>
                                <w:lang w:val="fr-CA"/>
                              </w:rPr>
                              <w:t>Groupe de travail de l’Eastern Shore Fisherman’s Protective Association (ESFPA)</w:t>
                            </w:r>
                          </w:p>
                          <w:p w:rsidR="008B3477" w:rsidRPr="008B3477" w:rsidRDefault="008B3477" w:rsidP="00797710">
                            <w:pPr>
                              <w:ind w:left="360"/>
                              <w:jc w:val="center"/>
                              <w:rPr>
                                <w:rFonts w:ascii="Arial" w:hAnsi="Arial" w:cs="Arial"/>
                                <w:b/>
                                <w:color w:val="FFFFFF" w:themeColor="background1"/>
                                <w:sz w:val="32"/>
                                <w:lang w:val="fr-CA"/>
                              </w:rPr>
                            </w:pPr>
                            <w:r w:rsidRPr="008B3477">
                              <w:rPr>
                                <w:rFonts w:ascii="Arial" w:hAnsi="Arial" w:cs="Arial"/>
                                <w:b/>
                                <w:color w:val="FFFFFF" w:themeColor="background1"/>
                                <w:sz w:val="32"/>
                                <w:lang w:val="fr-CA"/>
                              </w:rPr>
                              <w:t>Résumé de la reunion</w:t>
                            </w:r>
                          </w:p>
                          <w:p w:rsidR="0022549F" w:rsidRPr="008B3477" w:rsidRDefault="008B3477" w:rsidP="008B3477">
                            <w:pPr>
                              <w:ind w:left="360"/>
                              <w:jc w:val="center"/>
                              <w:rPr>
                                <w:rFonts w:ascii="Arial" w:hAnsi="Arial" w:cs="Arial"/>
                                <w:color w:val="FFFFFF" w:themeColor="background1"/>
                                <w:sz w:val="28"/>
                                <w:lang w:val="fr-CA"/>
                              </w:rPr>
                            </w:pPr>
                            <w:r w:rsidRPr="008B3477">
                              <w:rPr>
                                <w:rFonts w:ascii="Arial" w:hAnsi="Arial" w:cs="Arial"/>
                                <w:color w:val="FFFFFF" w:themeColor="background1"/>
                                <w:sz w:val="28"/>
                                <w:lang w:val="fr-CA"/>
                              </w:rPr>
                              <w:t>23 octobre 2018, Ship Harbour (Nouvelle-Écosse)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E6B893" id="_x0000_t202" coordsize="21600,21600" o:spt="202" path="m,l,21600r21600,l21600,xe">
                <v:stroke joinstyle="miter"/>
                <v:path gradientshapeok="t" o:connecttype="rect"/>
              </v:shapetype>
              <v:shape id="Text Box 2" o:spid="_x0000_s1026" type="#_x0000_t202" style="position:absolute;margin-left:25.8pt;margin-top:-.05pt;width:388.8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" filled="f" stroked="f">
                <v:textbox style="mso-fit-shape-to-text:t">
                  <w:txbxContent>
                    <w:p w:rsidR="00407656" w:rsidRPr="008B3477" w:rsidRDefault="008B3477" w:rsidP="00797710">
                      <w:pPr>
                        <w:ind w:left="360"/>
                        <w:jc w:val="center"/>
                        <w:rPr>
                          <w:rFonts w:ascii="Arial" w:hAnsi="Arial" w:cs="Arial"/>
                          <w:b/>
                          <w:color w:val="FFFFFF" w:themeColor="background1"/>
                          <w:sz w:val="32"/>
                          <w:lang w:val="fr-CA"/>
                        </w:rPr>
                      </w:pPr>
                      <w:r w:rsidRPr="008B3477">
                        <w:rPr>
                          <w:rFonts w:ascii="Arial" w:hAnsi="Arial" w:cs="Arial"/>
                          <w:b/>
                          <w:color w:val="FFFFFF" w:themeColor="background1"/>
                          <w:sz w:val="32"/>
                          <w:lang w:val="fr-CA"/>
                        </w:rPr>
                        <w:t>Groupe de travail de l’Eastern Shore Fisherman’s Protective Association (ESFPA)</w:t>
                      </w:r>
                    </w:p>
                    <w:p w:rsidR="008B3477" w:rsidRPr="008B3477" w:rsidRDefault="008B3477" w:rsidP="00797710">
                      <w:pPr>
                        <w:ind w:left="360"/>
                        <w:jc w:val="center"/>
                        <w:rPr>
                          <w:rFonts w:ascii="Arial" w:hAnsi="Arial" w:cs="Arial"/>
                          <w:b/>
                          <w:color w:val="FFFFFF" w:themeColor="background1"/>
                          <w:sz w:val="32"/>
                          <w:lang w:val="fr-CA"/>
                        </w:rPr>
                      </w:pPr>
                      <w:r w:rsidRPr="008B3477">
                        <w:rPr>
                          <w:rFonts w:ascii="Arial" w:hAnsi="Arial" w:cs="Arial"/>
                          <w:b/>
                          <w:color w:val="FFFFFF" w:themeColor="background1"/>
                          <w:sz w:val="32"/>
                          <w:lang w:val="fr-CA"/>
                        </w:rPr>
                        <w:t>Résumé de la reunion</w:t>
                      </w:r>
                    </w:p>
                    <w:p w:rsidR="0022549F" w:rsidRPr="008B3477" w:rsidRDefault="008B3477" w:rsidP="008B3477">
                      <w:pPr>
                        <w:ind w:left="360"/>
                        <w:jc w:val="center"/>
                        <w:rPr>
                          <w:rFonts w:ascii="Arial" w:hAnsi="Arial" w:cs="Arial"/>
                          <w:color w:val="FFFFFF" w:themeColor="background1"/>
                          <w:sz w:val="28"/>
                          <w:lang w:val="fr-CA"/>
                        </w:rPr>
                      </w:pPr>
                      <w:r w:rsidRPr="008B3477">
                        <w:rPr>
                          <w:rFonts w:ascii="Arial" w:hAnsi="Arial" w:cs="Arial"/>
                          <w:color w:val="FFFFFF" w:themeColor="background1"/>
                          <w:sz w:val="28"/>
                          <w:lang w:val="fr-CA"/>
                        </w:rPr>
                        <w:t>23 octobre 2018, Ship Harbour (Nouvelle-Écosse)</w:t>
                      </w:r>
                    </w:p>
                  </w:txbxContent>
                </v:textbox>
              </v:shape>
            </w:pict>
          </mc:Fallback>
        </mc:AlternateContent>
      </w:r>
      <w:r>
        <w:rPr>
          <w:noProof/>
          <w:sz w:val="20"/>
          <w:lang w:val="en-CA" w:eastAsia="en-CA"/>
        </w:rPr>
        <w:drawing>
          <wp:anchor distT="0" distB="0" distL="114300" distR="114300" simplePos="0" relativeHeight="251657216" behindDoc="1" locked="0" layoutInCell="1" allowOverlap="1" wp14:anchorId="5C017568" wp14:editId="3F01F32B">
            <wp:simplePos x="0" y="0"/>
            <wp:positionH relativeFrom="column">
              <wp:posOffset>-821690</wp:posOffset>
            </wp:positionH>
            <wp:positionV relativeFrom="paragraph">
              <wp:posOffset>0</wp:posOffset>
            </wp:positionV>
            <wp:extent cx="7086600" cy="1007745"/>
            <wp:effectExtent l="0" t="0" r="0" b="1905"/>
            <wp:wrapTight wrapText="bothSides">
              <wp:wrapPolygon edited="0">
                <wp:start x="0" y="0"/>
                <wp:lineTo x="0" y="21233"/>
                <wp:lineTo x="21542" y="21233"/>
                <wp:lineTo x="21542" y="0"/>
                <wp:lineTo x="0" y="0"/>
              </wp:wrapPolygon>
            </wp:wrapTight>
            <wp:docPr id="2" name="Picture 2" descr="e_header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_header_c"/>
                    <pic:cNvPicPr>
                      <a:picLocks noChangeAspect="1" noChangeArrowheads="1"/>
                    </pic:cNvPicPr>
                  </pic:nvPicPr>
                  <pic:blipFill>
                    <a:blip r:embed="rId8" cstate="print">
                      <a:extLst>
                        <a:ext uri="{28A0092B-C50C-407E-A947-70E740481C1C}">
                          <a14:useLocalDpi xmlns:a14="http://schemas.microsoft.com/office/drawing/2010/main" val="0"/>
                        </a:ext>
                      </a:extLst>
                    </a:blip>
                    <a:srcRect t="48506"/>
                    <a:stretch>
                      <a:fillRect/>
                    </a:stretch>
                  </pic:blipFill>
                  <pic:spPr bwMode="auto">
                    <a:xfrm>
                      <a:off x="0" y="0"/>
                      <a:ext cx="7086600" cy="10077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0"/>
        <w:gridCol w:w="10"/>
      </w:tblGrid>
      <w:tr w:rsidR="007F4D06" w:rsidRPr="00A86C47" w:rsidTr="00EA159C">
        <w:trPr>
          <w:gridAfter w:val="1"/>
          <w:wAfter w:w="10" w:type="dxa"/>
          <w:trHeight w:val="397"/>
          <w:jc w:val="center"/>
        </w:trPr>
        <w:tc>
          <w:tcPr>
            <w:tcW w:w="7570" w:type="dxa"/>
            <w:shd w:val="clear" w:color="auto" w:fill="000000"/>
            <w:vAlign w:val="center"/>
          </w:tcPr>
          <w:p w:rsidR="007F4D06" w:rsidRPr="00A86C47" w:rsidRDefault="007F4D06" w:rsidP="00EA159C">
            <w:pPr>
              <w:jc w:val="center"/>
              <w:rPr>
                <w:rFonts w:ascii="Arial" w:hAnsi="Arial"/>
                <w:b/>
                <w:i/>
                <w:sz w:val="20"/>
                <w:szCs w:val="20"/>
                <w:lang w:val="en-CA"/>
              </w:rPr>
            </w:pPr>
            <w:r w:rsidRPr="00A86C47">
              <w:rPr>
                <w:rFonts w:ascii="Arial" w:hAnsi="Arial"/>
                <w:b/>
                <w:i/>
                <w:sz w:val="20"/>
                <w:szCs w:val="20"/>
                <w:lang w:val="en-CA"/>
              </w:rPr>
              <w:t>Participants</w:t>
            </w:r>
          </w:p>
        </w:tc>
      </w:tr>
      <w:tr w:rsidR="007F4D06" w:rsidRPr="00A86C47" w:rsidTr="00EA159C">
        <w:trPr>
          <w:jc w:val="center"/>
        </w:trPr>
        <w:tc>
          <w:tcPr>
            <w:tcW w:w="7580" w:type="dxa"/>
            <w:gridSpan w:val="2"/>
            <w:shd w:val="clear" w:color="auto" w:fill="C6D9F1" w:themeFill="text2" w:themeFillTint="33"/>
          </w:tcPr>
          <w:p w:rsidR="007F4D06" w:rsidRPr="007F4D06" w:rsidRDefault="007F4D06" w:rsidP="00EA159C">
            <w:pPr>
              <w:tabs>
                <w:tab w:val="left" w:pos="4111"/>
              </w:tabs>
              <w:rPr>
                <w:rFonts w:ascii="Arial" w:hAnsi="Arial" w:cs="Arial"/>
                <w:i/>
                <w:sz w:val="20"/>
                <w:szCs w:val="20"/>
                <w:lang w:eastAsia="en-CA"/>
              </w:rPr>
            </w:pPr>
            <w:proofErr w:type="spellStart"/>
            <w:r w:rsidRPr="007F4D06">
              <w:rPr>
                <w:rFonts w:ascii="Arial" w:hAnsi="Arial" w:cs="Arial"/>
                <w:i/>
                <w:sz w:val="20"/>
                <w:szCs w:val="20"/>
                <w:lang w:eastAsia="en-CA"/>
              </w:rPr>
              <w:t>Présents</w:t>
            </w:r>
            <w:proofErr w:type="spellEnd"/>
          </w:p>
        </w:tc>
      </w:tr>
      <w:tr w:rsidR="007F4D06" w:rsidRPr="00A86C47" w:rsidTr="00EA159C">
        <w:trPr>
          <w:jc w:val="center"/>
        </w:trPr>
        <w:tc>
          <w:tcPr>
            <w:tcW w:w="7580" w:type="dxa"/>
            <w:gridSpan w:val="2"/>
            <w:shd w:val="clear" w:color="auto" w:fill="auto"/>
          </w:tcPr>
          <w:p w:rsidR="007F4D06" w:rsidRPr="00A86C47" w:rsidRDefault="007F4D06" w:rsidP="00EA159C">
            <w:pPr>
              <w:tabs>
                <w:tab w:val="left" w:pos="4111"/>
              </w:tabs>
              <w:rPr>
                <w:rFonts w:ascii="Arial" w:hAnsi="Arial" w:cs="Arial"/>
                <w:b/>
                <w:sz w:val="20"/>
                <w:szCs w:val="20"/>
                <w:lang w:eastAsia="en-CA"/>
              </w:rPr>
            </w:pPr>
            <w:r w:rsidRPr="00A86C47">
              <w:rPr>
                <w:rFonts w:ascii="Arial" w:hAnsi="Arial" w:cs="Arial"/>
                <w:b/>
                <w:sz w:val="20"/>
                <w:szCs w:val="20"/>
                <w:lang w:eastAsia="en-CA"/>
              </w:rPr>
              <w:t>POSITION</w:t>
            </w:r>
          </w:p>
        </w:tc>
      </w:tr>
      <w:tr w:rsidR="007F4D06" w:rsidRPr="007F4D06" w:rsidTr="00EA159C">
        <w:trPr>
          <w:jc w:val="center"/>
        </w:trPr>
        <w:tc>
          <w:tcPr>
            <w:tcW w:w="7580" w:type="dxa"/>
            <w:gridSpan w:val="2"/>
            <w:shd w:val="clear" w:color="auto" w:fill="auto"/>
          </w:tcPr>
          <w:p w:rsidR="007F4D06" w:rsidRPr="007F4D06" w:rsidRDefault="007F4D06" w:rsidP="00EA159C">
            <w:pPr>
              <w:keepNext/>
              <w:outlineLvl w:val="3"/>
              <w:rPr>
                <w:rFonts w:ascii="Arial" w:hAnsi="Arial" w:cs="Arial"/>
                <w:sz w:val="20"/>
                <w:szCs w:val="20"/>
                <w:lang w:val="fr-CA"/>
              </w:rPr>
            </w:pPr>
            <w:r w:rsidRPr="008B3477">
              <w:rPr>
                <w:rFonts w:ascii="Arial" w:hAnsi="Arial" w:cs="Arial"/>
                <w:sz w:val="20"/>
                <w:szCs w:val="20"/>
                <w:lang w:val="fr-CA"/>
              </w:rPr>
              <w:t>Pêches et Océans Canada – Division de la gestion des océans et des côtes</w:t>
            </w:r>
          </w:p>
        </w:tc>
      </w:tr>
      <w:tr w:rsidR="007F4D06" w:rsidRPr="007F4D06" w:rsidTr="00EA159C">
        <w:trPr>
          <w:jc w:val="center"/>
        </w:trPr>
        <w:tc>
          <w:tcPr>
            <w:tcW w:w="7580" w:type="dxa"/>
            <w:gridSpan w:val="2"/>
            <w:shd w:val="clear" w:color="auto" w:fill="auto"/>
          </w:tcPr>
          <w:p w:rsidR="007F4D06" w:rsidRPr="007F4D06" w:rsidRDefault="007F4D06" w:rsidP="00EA159C">
            <w:pPr>
              <w:rPr>
                <w:rFonts w:ascii="Arial" w:hAnsi="Arial" w:cs="Arial"/>
                <w:sz w:val="20"/>
                <w:szCs w:val="20"/>
                <w:lang w:val="fr-CA"/>
              </w:rPr>
            </w:pPr>
            <w:r w:rsidRPr="008B3477">
              <w:rPr>
                <w:rFonts w:ascii="Arial" w:hAnsi="Arial" w:cs="Arial"/>
                <w:sz w:val="20"/>
                <w:szCs w:val="20"/>
                <w:lang w:val="fr-CA"/>
              </w:rPr>
              <w:t>Pêches et Océans Canada – Sciences</w:t>
            </w:r>
          </w:p>
        </w:tc>
      </w:tr>
      <w:tr w:rsidR="007F4D06" w:rsidRPr="007F4D06" w:rsidTr="00EA159C">
        <w:trPr>
          <w:jc w:val="center"/>
        </w:trPr>
        <w:tc>
          <w:tcPr>
            <w:tcW w:w="7580" w:type="dxa"/>
            <w:gridSpan w:val="2"/>
            <w:shd w:val="clear" w:color="auto" w:fill="auto"/>
          </w:tcPr>
          <w:p w:rsidR="007F4D06" w:rsidRPr="007F4D06" w:rsidRDefault="007F4D06" w:rsidP="00EA159C">
            <w:pPr>
              <w:rPr>
                <w:rFonts w:ascii="Arial" w:hAnsi="Arial" w:cs="Arial"/>
                <w:sz w:val="20"/>
                <w:szCs w:val="20"/>
                <w:lang w:val="fr-CA"/>
              </w:rPr>
            </w:pPr>
            <w:r w:rsidRPr="008B3477">
              <w:rPr>
                <w:rFonts w:ascii="Arial" w:hAnsi="Arial" w:cs="Arial"/>
                <w:sz w:val="20"/>
                <w:szCs w:val="20"/>
                <w:lang w:val="fr-CA"/>
              </w:rPr>
              <w:t>Ministère des Pêches et de l’Aquaculture de la Nouvelle-Écosse</w:t>
            </w:r>
          </w:p>
        </w:tc>
      </w:tr>
      <w:tr w:rsidR="007F4D06" w:rsidRPr="007F4D06" w:rsidTr="00EA159C">
        <w:trPr>
          <w:jc w:val="center"/>
        </w:trPr>
        <w:tc>
          <w:tcPr>
            <w:tcW w:w="7580" w:type="dxa"/>
            <w:gridSpan w:val="2"/>
            <w:shd w:val="clear" w:color="auto" w:fill="auto"/>
          </w:tcPr>
          <w:p w:rsidR="007F4D06" w:rsidRPr="008B3477" w:rsidRDefault="007F4D06" w:rsidP="007F4D06">
            <w:pPr>
              <w:rPr>
                <w:rFonts w:ascii="Arial" w:hAnsi="Arial" w:cs="Arial"/>
                <w:sz w:val="20"/>
                <w:szCs w:val="20"/>
                <w:lang w:val="fr-CA"/>
              </w:rPr>
            </w:pPr>
            <w:r w:rsidRPr="008B3477">
              <w:rPr>
                <w:rFonts w:ascii="Arial" w:hAnsi="Arial" w:cs="Arial"/>
                <w:sz w:val="20"/>
                <w:szCs w:val="20"/>
                <w:lang w:val="fr-CA"/>
              </w:rPr>
              <w:t>Environ 50 membres (personnel, directeurs, pêcheurs, transformateurs de produits de la mer) de l’ESFPA</w:t>
            </w:r>
          </w:p>
        </w:tc>
      </w:tr>
    </w:tbl>
    <w:p w:rsidR="007F4D06" w:rsidRPr="007F4D06" w:rsidRDefault="007F4D06" w:rsidP="00095571">
      <w:pPr>
        <w:tabs>
          <w:tab w:val="left" w:pos="5490"/>
        </w:tabs>
        <w:rPr>
          <w:rFonts w:ascii="Arial" w:hAnsi="Arial" w:cs="Arial"/>
          <w:b/>
          <w:sz w:val="22"/>
          <w:szCs w:val="28"/>
          <w:lang w:val="fr-CA"/>
        </w:rPr>
      </w:pPr>
      <w:bookmarkStart w:id="0" w:name="_GoBack"/>
      <w:bookmarkEnd w:id="0"/>
    </w:p>
    <w:p w:rsidR="00517560" w:rsidRPr="007F4D06" w:rsidRDefault="00517560" w:rsidP="00517560">
      <w:pPr>
        <w:tabs>
          <w:tab w:val="left" w:pos="5490"/>
        </w:tabs>
        <w:rPr>
          <w:rFonts w:ascii="Arial" w:hAnsi="Arial" w:cs="Arial"/>
          <w:color w:val="0000FF"/>
          <w:sz w:val="8"/>
          <w:szCs w:val="8"/>
          <w:lang w:val="fr-CA" w:eastAsia="en-CA"/>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797710" w:rsidRPr="00A86C47" w:rsidTr="0022549F">
        <w:trPr>
          <w:trHeight w:val="397"/>
          <w:jc w:val="center"/>
        </w:trPr>
        <w:tc>
          <w:tcPr>
            <w:tcW w:w="8856" w:type="dxa"/>
            <w:shd w:val="clear" w:color="auto" w:fill="000000"/>
            <w:vAlign w:val="center"/>
          </w:tcPr>
          <w:p w:rsidR="00797710" w:rsidRPr="00A86C47" w:rsidRDefault="008B3477" w:rsidP="007271C4">
            <w:pPr>
              <w:jc w:val="center"/>
              <w:rPr>
                <w:rFonts w:ascii="Arial" w:hAnsi="Arial"/>
                <w:b/>
                <w:i/>
                <w:sz w:val="20"/>
                <w:szCs w:val="20"/>
                <w:lang w:val="en-CA"/>
              </w:rPr>
            </w:pPr>
            <w:proofErr w:type="spellStart"/>
            <w:r w:rsidRPr="008B3477">
              <w:rPr>
                <w:rFonts w:ascii="Arial" w:hAnsi="Arial"/>
                <w:b/>
                <w:i/>
                <w:sz w:val="20"/>
                <w:szCs w:val="20"/>
                <w:lang w:val="en-CA"/>
              </w:rPr>
              <w:t>Objectifs</w:t>
            </w:r>
            <w:proofErr w:type="spellEnd"/>
            <w:r w:rsidRPr="008B3477">
              <w:rPr>
                <w:rFonts w:ascii="Arial" w:hAnsi="Arial"/>
                <w:b/>
                <w:i/>
                <w:sz w:val="20"/>
                <w:szCs w:val="20"/>
                <w:lang w:val="en-CA"/>
              </w:rPr>
              <w:t xml:space="preserve"> de la </w:t>
            </w:r>
            <w:proofErr w:type="spellStart"/>
            <w:r w:rsidRPr="008B3477">
              <w:rPr>
                <w:rFonts w:ascii="Arial" w:hAnsi="Arial"/>
                <w:b/>
                <w:i/>
                <w:sz w:val="20"/>
                <w:szCs w:val="20"/>
                <w:lang w:val="en-CA"/>
              </w:rPr>
              <w:t>réunion</w:t>
            </w:r>
            <w:proofErr w:type="spellEnd"/>
          </w:p>
        </w:tc>
      </w:tr>
      <w:tr w:rsidR="00797710" w:rsidRPr="007F4D06" w:rsidTr="0022549F">
        <w:trPr>
          <w:jc w:val="center"/>
        </w:trPr>
        <w:tc>
          <w:tcPr>
            <w:tcW w:w="8856" w:type="dxa"/>
            <w:shd w:val="clear" w:color="auto" w:fill="auto"/>
          </w:tcPr>
          <w:p w:rsidR="008B3477" w:rsidRPr="008B3477" w:rsidRDefault="008B3477" w:rsidP="008B3477">
            <w:pPr>
              <w:numPr>
                <w:ilvl w:val="0"/>
                <w:numId w:val="2"/>
              </w:numPr>
              <w:rPr>
                <w:rFonts w:ascii="Arial" w:hAnsi="Arial" w:cs="Arial"/>
                <w:sz w:val="20"/>
                <w:szCs w:val="20"/>
                <w:lang w:val="fr-CA"/>
              </w:rPr>
            </w:pPr>
            <w:r w:rsidRPr="008B3477">
              <w:rPr>
                <w:rFonts w:ascii="Arial" w:hAnsi="Arial" w:cs="Arial"/>
                <w:sz w:val="20"/>
                <w:szCs w:val="20"/>
                <w:lang w:val="fr-CA"/>
              </w:rPr>
              <w:t>Discussion concernant l’ÉBAUCHE des objectifs de la ZPM proposée des îles de la côte Est</w:t>
            </w:r>
          </w:p>
          <w:p w:rsidR="008B3477" w:rsidRPr="008B3477" w:rsidRDefault="008B3477" w:rsidP="008B3477">
            <w:pPr>
              <w:numPr>
                <w:ilvl w:val="0"/>
                <w:numId w:val="2"/>
              </w:numPr>
              <w:rPr>
                <w:rFonts w:ascii="Arial" w:hAnsi="Arial" w:cs="Arial"/>
                <w:sz w:val="20"/>
                <w:szCs w:val="20"/>
                <w:lang w:val="fr-CA"/>
              </w:rPr>
            </w:pPr>
            <w:r w:rsidRPr="008B3477">
              <w:rPr>
                <w:rFonts w:ascii="Arial" w:hAnsi="Arial" w:cs="Arial"/>
                <w:sz w:val="20"/>
                <w:szCs w:val="20"/>
                <w:lang w:val="fr-CA"/>
              </w:rPr>
              <w:t>Discussion concernant ce à quoi pourrait ressembler une zone de haute protection potentielle dans une future ZPM des îles de la côte Est</w:t>
            </w:r>
          </w:p>
          <w:p w:rsidR="00797710" w:rsidRPr="008B3477" w:rsidRDefault="008B3477" w:rsidP="008B3477">
            <w:pPr>
              <w:numPr>
                <w:ilvl w:val="0"/>
                <w:numId w:val="2"/>
              </w:numPr>
              <w:rPr>
                <w:rFonts w:ascii="Arial" w:hAnsi="Arial" w:cs="Arial"/>
                <w:sz w:val="20"/>
                <w:szCs w:val="20"/>
                <w:lang w:val="fr-CA"/>
              </w:rPr>
            </w:pPr>
            <w:r w:rsidRPr="008B3477">
              <w:rPr>
                <w:rFonts w:ascii="Arial" w:hAnsi="Arial" w:cs="Arial"/>
                <w:sz w:val="20"/>
                <w:szCs w:val="20"/>
                <w:lang w:val="fr-CA"/>
              </w:rPr>
              <w:t>Mise à jour générale par Pêches et Océans Canada relativement au processus des ZPM</w:t>
            </w:r>
          </w:p>
        </w:tc>
      </w:tr>
    </w:tbl>
    <w:p w:rsidR="005614A5" w:rsidRPr="008B3477" w:rsidRDefault="005614A5" w:rsidP="00517560">
      <w:pPr>
        <w:tabs>
          <w:tab w:val="left" w:pos="5490"/>
        </w:tabs>
        <w:rPr>
          <w:rFonts w:ascii="Arial" w:hAnsi="Arial" w:cs="Arial"/>
          <w:color w:val="0000FF"/>
          <w:sz w:val="22"/>
          <w:szCs w:val="22"/>
          <w:lang w:val="fr-CA" w:eastAsia="en-CA"/>
        </w:rPr>
      </w:pPr>
    </w:p>
    <w:p w:rsidR="00471EAA" w:rsidRPr="008B3477" w:rsidRDefault="00471EAA" w:rsidP="00517560">
      <w:pPr>
        <w:tabs>
          <w:tab w:val="left" w:pos="5490"/>
        </w:tabs>
        <w:rPr>
          <w:rFonts w:ascii="Arial" w:hAnsi="Arial" w:cs="Arial"/>
          <w:color w:val="0000FF"/>
          <w:sz w:val="8"/>
          <w:szCs w:val="8"/>
          <w:lang w:val="fr-CA" w:eastAsia="en-CA"/>
        </w:rPr>
      </w:pPr>
    </w:p>
    <w:tbl>
      <w:tblPr>
        <w:tblW w:w="10263" w:type="dxa"/>
        <w:jc w:val="center"/>
        <w:tblLayout w:type="fixed"/>
        <w:tblLook w:val="04A0" w:firstRow="1" w:lastRow="0" w:firstColumn="1" w:lastColumn="0" w:noHBand="0" w:noVBand="1"/>
      </w:tblPr>
      <w:tblGrid>
        <w:gridCol w:w="692"/>
        <w:gridCol w:w="9571"/>
      </w:tblGrid>
      <w:tr w:rsidR="004833FE" w:rsidRPr="007F4D06" w:rsidTr="00B6461B">
        <w:trPr>
          <w:trHeight w:val="404"/>
          <w:jc w:val="center"/>
        </w:trPr>
        <w:tc>
          <w:tcPr>
            <w:tcW w:w="10263" w:type="dxa"/>
            <w:gridSpan w:val="2"/>
            <w:shd w:val="clear" w:color="auto" w:fill="000000"/>
            <w:vAlign w:val="center"/>
          </w:tcPr>
          <w:p w:rsidR="004833FE" w:rsidRPr="008B3477" w:rsidRDefault="008B3477" w:rsidP="00147B58">
            <w:pPr>
              <w:jc w:val="center"/>
              <w:rPr>
                <w:rFonts w:ascii="Arial" w:hAnsi="Arial"/>
                <w:b/>
                <w:i/>
                <w:sz w:val="20"/>
                <w:szCs w:val="20"/>
                <w:lang w:val="fr-CA"/>
              </w:rPr>
            </w:pPr>
            <w:r w:rsidRPr="008B3477">
              <w:rPr>
                <w:rFonts w:ascii="Arial" w:hAnsi="Arial"/>
                <w:b/>
                <w:i/>
                <w:sz w:val="20"/>
                <w:szCs w:val="20"/>
                <w:lang w:val="fr-CA"/>
              </w:rPr>
              <w:t>Thèmes de discussion et notes correspondantes</w:t>
            </w:r>
          </w:p>
        </w:tc>
      </w:tr>
      <w:tr w:rsidR="00147B58" w:rsidRPr="00A86C47" w:rsidTr="0068742F">
        <w:trPr>
          <w:trHeight w:val="404"/>
          <w:jc w:val="center"/>
        </w:trPr>
        <w:tc>
          <w:tcPr>
            <w:tcW w:w="692" w:type="dxa"/>
            <w:vMerge w:val="restart"/>
            <w:tcBorders>
              <w:top w:val="single" w:sz="4" w:space="0" w:color="auto"/>
              <w:left w:val="single" w:sz="4" w:space="0" w:color="auto"/>
              <w:right w:val="single" w:sz="4" w:space="0" w:color="auto"/>
            </w:tcBorders>
            <w:vAlign w:val="center"/>
          </w:tcPr>
          <w:p w:rsidR="00147B58" w:rsidRPr="00A86C47" w:rsidRDefault="00147B58" w:rsidP="00724B7E">
            <w:pPr>
              <w:tabs>
                <w:tab w:val="left" w:pos="5490"/>
              </w:tabs>
              <w:spacing w:before="40" w:after="40"/>
              <w:jc w:val="center"/>
              <w:rPr>
                <w:rFonts w:ascii="Arial" w:hAnsi="Arial" w:cs="Arial"/>
                <w:sz w:val="20"/>
                <w:szCs w:val="20"/>
                <w:lang w:eastAsia="en-CA"/>
              </w:rPr>
            </w:pPr>
            <w:r>
              <w:rPr>
                <w:rFonts w:ascii="Arial" w:hAnsi="Arial" w:cs="Arial"/>
                <w:sz w:val="20"/>
                <w:szCs w:val="20"/>
                <w:lang w:eastAsia="en-CA"/>
              </w:rPr>
              <w:t>1.</w:t>
            </w:r>
          </w:p>
        </w:tc>
        <w:tc>
          <w:tcPr>
            <w:tcW w:w="9571" w:type="dxa"/>
            <w:tcBorders>
              <w:top w:val="single" w:sz="4" w:space="0" w:color="auto"/>
              <w:left w:val="single" w:sz="4" w:space="0" w:color="auto"/>
              <w:bottom w:val="single" w:sz="4" w:space="0" w:color="auto"/>
              <w:right w:val="single" w:sz="4" w:space="0" w:color="auto"/>
            </w:tcBorders>
            <w:shd w:val="clear" w:color="auto" w:fill="auto"/>
            <w:vAlign w:val="center"/>
          </w:tcPr>
          <w:p w:rsidR="00147B58" w:rsidRDefault="00147B58" w:rsidP="00A86C47">
            <w:pPr>
              <w:tabs>
                <w:tab w:val="left" w:pos="5490"/>
              </w:tabs>
              <w:rPr>
                <w:rFonts w:ascii="Arial" w:hAnsi="Arial" w:cs="Arial"/>
                <w:sz w:val="20"/>
                <w:szCs w:val="20"/>
                <w:lang w:eastAsia="en-CA"/>
              </w:rPr>
            </w:pPr>
            <w:r>
              <w:rPr>
                <w:rFonts w:ascii="Arial" w:hAnsi="Arial" w:cs="Arial"/>
                <w:b/>
                <w:sz w:val="20"/>
                <w:szCs w:val="20"/>
                <w:lang w:eastAsia="en-CA"/>
              </w:rPr>
              <w:t>Introduction</w:t>
            </w:r>
          </w:p>
        </w:tc>
      </w:tr>
      <w:tr w:rsidR="00B058A7" w:rsidRPr="00A86C47" w:rsidTr="00182D01">
        <w:trPr>
          <w:trHeight w:val="404"/>
          <w:jc w:val="center"/>
        </w:trPr>
        <w:tc>
          <w:tcPr>
            <w:tcW w:w="692" w:type="dxa"/>
            <w:vMerge/>
            <w:tcBorders>
              <w:left w:val="single" w:sz="4" w:space="0" w:color="auto"/>
              <w:bottom w:val="single" w:sz="4" w:space="0" w:color="auto"/>
              <w:right w:val="single" w:sz="4" w:space="0" w:color="auto"/>
            </w:tcBorders>
            <w:vAlign w:val="center"/>
          </w:tcPr>
          <w:p w:rsidR="00B058A7" w:rsidRPr="00A86C47" w:rsidRDefault="00B058A7" w:rsidP="00724B7E">
            <w:pPr>
              <w:tabs>
                <w:tab w:val="left" w:pos="5490"/>
              </w:tabs>
              <w:spacing w:before="40" w:after="40"/>
              <w:jc w:val="center"/>
              <w:rPr>
                <w:rFonts w:ascii="Arial" w:hAnsi="Arial" w:cs="Arial"/>
                <w:sz w:val="20"/>
                <w:szCs w:val="20"/>
                <w:lang w:eastAsia="en-CA"/>
              </w:rPr>
            </w:pPr>
          </w:p>
        </w:tc>
        <w:tc>
          <w:tcPr>
            <w:tcW w:w="9571" w:type="dxa"/>
            <w:tcBorders>
              <w:top w:val="single" w:sz="4" w:space="0" w:color="auto"/>
              <w:left w:val="single" w:sz="4" w:space="0" w:color="auto"/>
              <w:bottom w:val="single" w:sz="4" w:space="0" w:color="auto"/>
              <w:right w:val="single" w:sz="4" w:space="0" w:color="auto"/>
            </w:tcBorders>
            <w:shd w:val="clear" w:color="auto" w:fill="auto"/>
            <w:vAlign w:val="center"/>
          </w:tcPr>
          <w:p w:rsidR="008B3477" w:rsidRPr="008B3477" w:rsidRDefault="008B3477" w:rsidP="008B3477">
            <w:pPr>
              <w:tabs>
                <w:tab w:val="left" w:pos="5490"/>
              </w:tabs>
              <w:rPr>
                <w:rFonts w:ascii="Arial" w:hAnsi="Arial" w:cs="Arial"/>
                <w:sz w:val="20"/>
                <w:szCs w:val="20"/>
                <w:lang w:val="fr-CA" w:eastAsia="en-CA"/>
              </w:rPr>
            </w:pPr>
            <w:r w:rsidRPr="008B3477">
              <w:rPr>
                <w:rFonts w:ascii="Arial" w:hAnsi="Arial" w:cs="Arial"/>
                <w:sz w:val="20"/>
                <w:szCs w:val="20"/>
                <w:lang w:val="fr-CA" w:eastAsia="en-CA"/>
              </w:rPr>
              <w:t>L’ESFPA indique qu’elle n’appuie pas le processus des ZPM en raison du manque de clarté sur la façon dont les pêches locales pourraient être touchées et du manque de confiance dans le processus consultatif et le gouvernement en général. Elle s’inquiète au sujet du Comité consultatif et du pouvoir qu’il aurait à l’avenir. L’association a besoin de contrôle et de certitude – elle doit savoir si et comment la pêche sera protégée par une ZPM.</w:t>
            </w:r>
          </w:p>
          <w:p w:rsidR="00B058A7" w:rsidRDefault="008B3477" w:rsidP="0040706F">
            <w:pPr>
              <w:tabs>
                <w:tab w:val="left" w:pos="5490"/>
              </w:tabs>
              <w:rPr>
                <w:rFonts w:ascii="Arial" w:hAnsi="Arial" w:cs="Arial"/>
                <w:sz w:val="20"/>
                <w:szCs w:val="20"/>
                <w:lang w:eastAsia="en-CA"/>
              </w:rPr>
            </w:pPr>
            <w:r w:rsidRPr="008B3477">
              <w:rPr>
                <w:rFonts w:ascii="Arial" w:hAnsi="Arial" w:cs="Arial"/>
                <w:sz w:val="20"/>
                <w:szCs w:val="20"/>
                <w:lang w:val="fr-CA" w:eastAsia="en-CA"/>
              </w:rPr>
              <w:t xml:space="preserve">Après ces remarques préliminaires, l’association accepte de laisser Pêches et Océans Canada faire sa présentation. </w:t>
            </w:r>
            <w:r w:rsidRPr="008B3477">
              <w:rPr>
                <w:rFonts w:ascii="Arial" w:hAnsi="Arial" w:cs="Arial"/>
                <w:i/>
                <w:sz w:val="20"/>
                <w:szCs w:val="20"/>
                <w:lang w:val="fr-CA" w:eastAsia="en-CA"/>
              </w:rPr>
              <w:t xml:space="preserve">NOTA : La réunion n’a pas suivi l’ordre du jour prévu. </w:t>
            </w:r>
            <w:r w:rsidRPr="008B3477">
              <w:rPr>
                <w:rFonts w:ascii="Arial" w:hAnsi="Arial" w:cs="Arial"/>
                <w:i/>
                <w:sz w:val="20"/>
                <w:szCs w:val="20"/>
                <w:lang w:eastAsia="en-CA"/>
              </w:rPr>
              <w:t xml:space="preserve">Les points de discussion </w:t>
            </w:r>
            <w:proofErr w:type="spellStart"/>
            <w:r w:rsidRPr="008B3477">
              <w:rPr>
                <w:rFonts w:ascii="Arial" w:hAnsi="Arial" w:cs="Arial"/>
                <w:i/>
                <w:sz w:val="20"/>
                <w:szCs w:val="20"/>
                <w:lang w:eastAsia="en-CA"/>
              </w:rPr>
              <w:t>clés</w:t>
            </w:r>
            <w:proofErr w:type="spellEnd"/>
            <w:r w:rsidRPr="008B3477">
              <w:rPr>
                <w:rFonts w:ascii="Arial" w:hAnsi="Arial" w:cs="Arial"/>
                <w:i/>
                <w:sz w:val="20"/>
                <w:szCs w:val="20"/>
                <w:lang w:eastAsia="en-CA"/>
              </w:rPr>
              <w:t xml:space="preserve"> </w:t>
            </w:r>
            <w:proofErr w:type="spellStart"/>
            <w:r w:rsidRPr="008B3477">
              <w:rPr>
                <w:rFonts w:ascii="Arial" w:hAnsi="Arial" w:cs="Arial"/>
                <w:i/>
                <w:sz w:val="20"/>
                <w:szCs w:val="20"/>
                <w:lang w:eastAsia="en-CA"/>
              </w:rPr>
              <w:t>sont</w:t>
            </w:r>
            <w:proofErr w:type="spellEnd"/>
            <w:r w:rsidRPr="008B3477">
              <w:rPr>
                <w:rFonts w:ascii="Arial" w:hAnsi="Arial" w:cs="Arial"/>
                <w:i/>
                <w:sz w:val="20"/>
                <w:szCs w:val="20"/>
                <w:lang w:eastAsia="en-CA"/>
              </w:rPr>
              <w:t xml:space="preserve"> résumés ci-</w:t>
            </w:r>
            <w:proofErr w:type="spellStart"/>
            <w:r w:rsidRPr="008B3477">
              <w:rPr>
                <w:rFonts w:ascii="Arial" w:hAnsi="Arial" w:cs="Arial"/>
                <w:i/>
                <w:sz w:val="20"/>
                <w:szCs w:val="20"/>
                <w:lang w:eastAsia="en-CA"/>
              </w:rPr>
              <w:t>dessous</w:t>
            </w:r>
            <w:proofErr w:type="spellEnd"/>
            <w:r w:rsidRPr="008B3477">
              <w:rPr>
                <w:rFonts w:ascii="Arial" w:hAnsi="Arial" w:cs="Arial"/>
                <w:i/>
                <w:sz w:val="20"/>
                <w:szCs w:val="20"/>
                <w:lang w:eastAsia="en-CA"/>
              </w:rPr>
              <w:t>.</w:t>
            </w:r>
            <w:r w:rsidR="00163A31">
              <w:rPr>
                <w:rFonts w:ascii="Arial" w:hAnsi="Arial" w:cs="Arial"/>
                <w:sz w:val="20"/>
                <w:szCs w:val="20"/>
                <w:lang w:eastAsia="en-CA"/>
              </w:rPr>
              <w:t xml:space="preserve"> </w:t>
            </w:r>
          </w:p>
        </w:tc>
      </w:tr>
      <w:tr w:rsidR="00147B58" w:rsidRPr="00A86C47" w:rsidTr="00114A64">
        <w:trPr>
          <w:trHeight w:val="404"/>
          <w:jc w:val="center"/>
        </w:trPr>
        <w:tc>
          <w:tcPr>
            <w:tcW w:w="692" w:type="dxa"/>
            <w:vMerge w:val="restart"/>
            <w:tcBorders>
              <w:top w:val="single" w:sz="4" w:space="0" w:color="auto"/>
              <w:left w:val="single" w:sz="4" w:space="0" w:color="auto"/>
              <w:right w:val="single" w:sz="4" w:space="0" w:color="auto"/>
            </w:tcBorders>
            <w:vAlign w:val="center"/>
          </w:tcPr>
          <w:p w:rsidR="00147B58" w:rsidRDefault="00147B58" w:rsidP="00724B7E">
            <w:pPr>
              <w:tabs>
                <w:tab w:val="left" w:pos="5490"/>
              </w:tabs>
              <w:spacing w:before="40" w:after="40"/>
              <w:jc w:val="center"/>
              <w:rPr>
                <w:rFonts w:ascii="Arial" w:hAnsi="Arial" w:cs="Arial"/>
                <w:sz w:val="20"/>
                <w:szCs w:val="20"/>
                <w:lang w:eastAsia="en-CA"/>
              </w:rPr>
            </w:pPr>
            <w:r>
              <w:rPr>
                <w:rFonts w:ascii="Arial" w:hAnsi="Arial" w:cs="Arial"/>
                <w:sz w:val="20"/>
                <w:szCs w:val="20"/>
                <w:lang w:eastAsia="en-CA"/>
              </w:rPr>
              <w:t>2.</w:t>
            </w:r>
          </w:p>
        </w:tc>
        <w:tc>
          <w:tcPr>
            <w:tcW w:w="9571" w:type="dxa"/>
            <w:tcBorders>
              <w:top w:val="single" w:sz="4" w:space="0" w:color="auto"/>
              <w:left w:val="single" w:sz="4" w:space="0" w:color="auto"/>
              <w:bottom w:val="single" w:sz="4" w:space="0" w:color="auto"/>
              <w:right w:val="single" w:sz="4" w:space="0" w:color="auto"/>
            </w:tcBorders>
            <w:shd w:val="clear" w:color="auto" w:fill="auto"/>
            <w:vAlign w:val="center"/>
          </w:tcPr>
          <w:p w:rsidR="00147B58" w:rsidRPr="00A86C47" w:rsidRDefault="008B3477" w:rsidP="00A86C47">
            <w:pPr>
              <w:tabs>
                <w:tab w:val="left" w:pos="5490"/>
              </w:tabs>
              <w:rPr>
                <w:rFonts w:ascii="Arial" w:hAnsi="Arial" w:cs="Arial"/>
                <w:sz w:val="20"/>
                <w:szCs w:val="20"/>
                <w:lang w:eastAsia="en-CA"/>
              </w:rPr>
            </w:pPr>
            <w:r w:rsidRPr="008B3477">
              <w:rPr>
                <w:rFonts w:ascii="Arial" w:hAnsi="Arial" w:cs="Arial"/>
                <w:b/>
                <w:sz w:val="20"/>
                <w:szCs w:val="20"/>
                <w:lang w:eastAsia="en-CA"/>
              </w:rPr>
              <w:t xml:space="preserve">Le </w:t>
            </w:r>
            <w:proofErr w:type="spellStart"/>
            <w:r w:rsidRPr="008B3477">
              <w:rPr>
                <w:rFonts w:ascii="Arial" w:hAnsi="Arial" w:cs="Arial"/>
                <w:b/>
                <w:sz w:val="20"/>
                <w:szCs w:val="20"/>
                <w:lang w:eastAsia="en-CA"/>
              </w:rPr>
              <w:t>processus</w:t>
            </w:r>
            <w:proofErr w:type="spellEnd"/>
            <w:r w:rsidRPr="008B3477">
              <w:rPr>
                <w:rFonts w:ascii="Arial" w:hAnsi="Arial" w:cs="Arial"/>
                <w:b/>
                <w:sz w:val="20"/>
                <w:szCs w:val="20"/>
                <w:lang w:eastAsia="en-CA"/>
              </w:rPr>
              <w:t xml:space="preserve"> des ZPM</w:t>
            </w:r>
          </w:p>
        </w:tc>
      </w:tr>
      <w:tr w:rsidR="00093B99" w:rsidRPr="007F4D06" w:rsidTr="001925E1">
        <w:trPr>
          <w:trHeight w:val="404"/>
          <w:jc w:val="center"/>
        </w:trPr>
        <w:tc>
          <w:tcPr>
            <w:tcW w:w="692" w:type="dxa"/>
            <w:vMerge/>
            <w:tcBorders>
              <w:left w:val="single" w:sz="4" w:space="0" w:color="auto"/>
              <w:bottom w:val="single" w:sz="4" w:space="0" w:color="auto"/>
              <w:right w:val="single" w:sz="4" w:space="0" w:color="auto"/>
            </w:tcBorders>
            <w:vAlign w:val="center"/>
          </w:tcPr>
          <w:p w:rsidR="00093B99" w:rsidRDefault="00093B99" w:rsidP="00724B7E">
            <w:pPr>
              <w:tabs>
                <w:tab w:val="left" w:pos="5490"/>
              </w:tabs>
              <w:spacing w:before="40" w:after="40"/>
              <w:jc w:val="center"/>
              <w:rPr>
                <w:rFonts w:ascii="Arial" w:hAnsi="Arial" w:cs="Arial"/>
                <w:sz w:val="20"/>
                <w:szCs w:val="20"/>
                <w:lang w:eastAsia="en-CA"/>
              </w:rPr>
            </w:pPr>
          </w:p>
        </w:tc>
        <w:tc>
          <w:tcPr>
            <w:tcW w:w="9571" w:type="dxa"/>
            <w:tcBorders>
              <w:top w:val="single" w:sz="4" w:space="0" w:color="auto"/>
              <w:left w:val="single" w:sz="4" w:space="0" w:color="auto"/>
              <w:bottom w:val="single" w:sz="4" w:space="0" w:color="auto"/>
              <w:right w:val="single" w:sz="4" w:space="0" w:color="auto"/>
            </w:tcBorders>
            <w:shd w:val="clear" w:color="auto" w:fill="auto"/>
            <w:vAlign w:val="center"/>
          </w:tcPr>
          <w:p w:rsidR="009F63C1" w:rsidRPr="008B3477" w:rsidRDefault="008B3477" w:rsidP="009857D0">
            <w:pPr>
              <w:tabs>
                <w:tab w:val="left" w:pos="5490"/>
              </w:tabs>
              <w:rPr>
                <w:rFonts w:ascii="Arial" w:hAnsi="Arial" w:cs="Arial"/>
                <w:sz w:val="20"/>
                <w:szCs w:val="20"/>
                <w:lang w:val="fr-CA" w:eastAsia="en-CA"/>
              </w:rPr>
            </w:pPr>
            <w:r w:rsidRPr="008B3477">
              <w:rPr>
                <w:rFonts w:ascii="Arial" w:hAnsi="Arial" w:cs="Arial"/>
                <w:sz w:val="20"/>
                <w:szCs w:val="20"/>
                <w:lang w:val="fr-CA" w:eastAsia="en-CA"/>
              </w:rPr>
              <w:t>L’ESFPA demande si le processus des ZPM se poursuivrait si elle venait à se retirer des discussions. [Réponse de Pêches et Océans Canada : Ce n’est pas une « affaire conclue » que cette région va devenir une ZPM. Toutefois, le processus des sites d’intérêt se poursuivra et nous encourageons l’ESFPA à continuer d’y participer afin de s’assurer que les pêcheurs aient une voix forte dans le processus. Dans le cadre de ce processus, Pêches et Océans Canada collaborera avec le Comité consultatif à la formulation de recommandations à l’intention du ministre, y compris l’établissement ou non d’une ZPM, en fonction des résultats de la consultation et de la collecte et de l’évaluation de renseignements.]</w:t>
            </w:r>
          </w:p>
        </w:tc>
      </w:tr>
      <w:tr w:rsidR="00147B58" w:rsidRPr="007F4D06" w:rsidTr="005F6720">
        <w:trPr>
          <w:trHeight w:val="404"/>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tcPr>
          <w:p w:rsidR="00147B58" w:rsidRPr="00A86C47" w:rsidRDefault="00147B58" w:rsidP="00724B7E">
            <w:pPr>
              <w:tabs>
                <w:tab w:val="left" w:pos="5490"/>
              </w:tabs>
              <w:spacing w:before="40" w:after="40"/>
              <w:jc w:val="center"/>
              <w:rPr>
                <w:rFonts w:ascii="Arial" w:hAnsi="Arial" w:cs="Arial"/>
                <w:sz w:val="20"/>
                <w:szCs w:val="20"/>
                <w:lang w:eastAsia="en-CA"/>
              </w:rPr>
            </w:pPr>
            <w:r>
              <w:rPr>
                <w:rFonts w:ascii="Arial" w:hAnsi="Arial" w:cs="Arial"/>
                <w:sz w:val="20"/>
                <w:szCs w:val="20"/>
                <w:lang w:eastAsia="en-CA"/>
              </w:rPr>
              <w:t>3.</w:t>
            </w:r>
          </w:p>
        </w:tc>
        <w:tc>
          <w:tcPr>
            <w:tcW w:w="9571" w:type="dxa"/>
            <w:tcBorders>
              <w:top w:val="single" w:sz="4" w:space="0" w:color="auto"/>
              <w:left w:val="single" w:sz="4" w:space="0" w:color="auto"/>
              <w:bottom w:val="single" w:sz="4" w:space="0" w:color="auto"/>
              <w:right w:val="single" w:sz="4" w:space="0" w:color="auto"/>
            </w:tcBorders>
            <w:shd w:val="clear" w:color="auto" w:fill="auto"/>
            <w:vAlign w:val="center"/>
          </w:tcPr>
          <w:p w:rsidR="00147B58" w:rsidRPr="008B3477" w:rsidRDefault="008B3477" w:rsidP="00C6214E">
            <w:pPr>
              <w:tabs>
                <w:tab w:val="left" w:pos="5490"/>
              </w:tabs>
              <w:rPr>
                <w:rFonts w:ascii="Arial" w:hAnsi="Arial" w:cs="Arial"/>
                <w:sz w:val="20"/>
                <w:szCs w:val="20"/>
                <w:lang w:val="fr-CA" w:eastAsia="en-CA"/>
              </w:rPr>
            </w:pPr>
            <w:r w:rsidRPr="008B3477">
              <w:rPr>
                <w:rFonts w:ascii="Arial" w:hAnsi="Arial" w:cs="Arial"/>
                <w:b/>
                <w:sz w:val="20"/>
                <w:szCs w:val="20"/>
                <w:lang w:val="fr-CA" w:eastAsia="en-CA"/>
              </w:rPr>
              <w:t>Ébauche des objectifs de la ZPM proposée pour la région des îles de la côte Est</w:t>
            </w:r>
          </w:p>
        </w:tc>
      </w:tr>
      <w:tr w:rsidR="00363F53" w:rsidRPr="007F4D06" w:rsidTr="00B6461B">
        <w:trPr>
          <w:trHeight w:val="480"/>
          <w:jc w:val="center"/>
        </w:trPr>
        <w:tc>
          <w:tcPr>
            <w:tcW w:w="692" w:type="dxa"/>
            <w:vMerge/>
            <w:tcBorders>
              <w:top w:val="single" w:sz="4" w:space="0" w:color="auto"/>
              <w:left w:val="single" w:sz="4" w:space="0" w:color="auto"/>
              <w:bottom w:val="single" w:sz="4" w:space="0" w:color="auto"/>
              <w:right w:val="single" w:sz="4" w:space="0" w:color="auto"/>
            </w:tcBorders>
            <w:vAlign w:val="center"/>
          </w:tcPr>
          <w:p w:rsidR="00363F53" w:rsidRPr="008B3477" w:rsidRDefault="00363F53" w:rsidP="00724B7E">
            <w:pPr>
              <w:tabs>
                <w:tab w:val="left" w:pos="5490"/>
              </w:tabs>
              <w:spacing w:before="40" w:after="40"/>
              <w:jc w:val="center"/>
              <w:rPr>
                <w:rFonts w:ascii="Arial" w:hAnsi="Arial" w:cs="Arial"/>
                <w:sz w:val="20"/>
                <w:szCs w:val="20"/>
                <w:lang w:val="fr-CA" w:eastAsia="en-CA"/>
              </w:rPr>
            </w:pPr>
          </w:p>
        </w:tc>
        <w:tc>
          <w:tcPr>
            <w:tcW w:w="9571" w:type="dxa"/>
            <w:tcBorders>
              <w:top w:val="single" w:sz="4" w:space="0" w:color="auto"/>
              <w:left w:val="single" w:sz="4" w:space="0" w:color="auto"/>
              <w:bottom w:val="single" w:sz="4" w:space="0" w:color="auto"/>
              <w:right w:val="single" w:sz="4" w:space="0" w:color="auto"/>
            </w:tcBorders>
            <w:shd w:val="clear" w:color="auto" w:fill="auto"/>
            <w:vAlign w:val="center"/>
          </w:tcPr>
          <w:p w:rsidR="00F51F0C" w:rsidRDefault="008B3477" w:rsidP="00A86C47">
            <w:pPr>
              <w:tabs>
                <w:tab w:val="left" w:pos="5490"/>
              </w:tabs>
              <w:rPr>
                <w:rFonts w:ascii="Arial" w:hAnsi="Arial" w:cs="Arial"/>
                <w:sz w:val="20"/>
                <w:szCs w:val="20"/>
                <w:lang w:eastAsia="en-CA"/>
              </w:rPr>
            </w:pPr>
            <w:r w:rsidRPr="008B3477">
              <w:rPr>
                <w:rFonts w:ascii="Arial" w:hAnsi="Arial" w:cs="Arial"/>
                <w:sz w:val="20"/>
                <w:szCs w:val="20"/>
                <w:lang w:val="fr-CA" w:eastAsia="en-CA"/>
              </w:rPr>
              <w:t xml:space="preserve">Pêches et Océans Canada a présenté une ébauche d’ensemble d’objectifs pour la ZPM proposée et en a discuté avec l’ESFPA. Le but de cette partie de la réunion était de prendre du recul et de discuter de ce que le Ministère et l’ESFPA aimeraient qu’une ZPM accomplisse. </w:t>
            </w:r>
            <w:r w:rsidRPr="008B3477">
              <w:rPr>
                <w:rFonts w:ascii="Arial" w:hAnsi="Arial" w:cs="Arial"/>
                <w:sz w:val="20"/>
                <w:szCs w:val="20"/>
                <w:lang w:eastAsia="en-CA"/>
              </w:rPr>
              <w:t xml:space="preserve">Les </w:t>
            </w:r>
            <w:proofErr w:type="spellStart"/>
            <w:r w:rsidRPr="008B3477">
              <w:rPr>
                <w:rFonts w:ascii="Arial" w:hAnsi="Arial" w:cs="Arial"/>
                <w:sz w:val="20"/>
                <w:szCs w:val="20"/>
                <w:lang w:eastAsia="en-CA"/>
              </w:rPr>
              <w:t>objectifs</w:t>
            </w:r>
            <w:proofErr w:type="spellEnd"/>
            <w:r w:rsidRPr="008B3477">
              <w:rPr>
                <w:rFonts w:ascii="Arial" w:hAnsi="Arial" w:cs="Arial"/>
                <w:sz w:val="20"/>
                <w:szCs w:val="20"/>
                <w:lang w:eastAsia="en-CA"/>
              </w:rPr>
              <w:t xml:space="preserve"> </w:t>
            </w:r>
            <w:proofErr w:type="spellStart"/>
            <w:r w:rsidRPr="008B3477">
              <w:rPr>
                <w:rFonts w:ascii="Arial" w:hAnsi="Arial" w:cs="Arial"/>
                <w:sz w:val="20"/>
                <w:szCs w:val="20"/>
                <w:lang w:eastAsia="en-CA"/>
              </w:rPr>
              <w:t>provisoires</w:t>
            </w:r>
            <w:proofErr w:type="spellEnd"/>
            <w:r w:rsidRPr="008B3477">
              <w:rPr>
                <w:rFonts w:ascii="Arial" w:hAnsi="Arial" w:cs="Arial"/>
                <w:sz w:val="20"/>
                <w:szCs w:val="20"/>
                <w:lang w:eastAsia="en-CA"/>
              </w:rPr>
              <w:t xml:space="preserve"> </w:t>
            </w:r>
            <w:proofErr w:type="spellStart"/>
            <w:r w:rsidRPr="008B3477">
              <w:rPr>
                <w:rFonts w:ascii="Arial" w:hAnsi="Arial" w:cs="Arial"/>
                <w:sz w:val="20"/>
                <w:szCs w:val="20"/>
                <w:lang w:eastAsia="en-CA"/>
              </w:rPr>
              <w:t>sont</w:t>
            </w:r>
            <w:proofErr w:type="spellEnd"/>
            <w:r w:rsidRPr="008B3477">
              <w:rPr>
                <w:rFonts w:ascii="Arial" w:hAnsi="Arial" w:cs="Arial"/>
                <w:sz w:val="20"/>
                <w:szCs w:val="20"/>
                <w:lang w:eastAsia="en-CA"/>
              </w:rPr>
              <w:t xml:space="preserve"> les </w:t>
            </w:r>
            <w:proofErr w:type="spellStart"/>
            <w:r w:rsidRPr="008B3477">
              <w:rPr>
                <w:rFonts w:ascii="Arial" w:hAnsi="Arial" w:cs="Arial"/>
                <w:sz w:val="20"/>
                <w:szCs w:val="20"/>
                <w:lang w:eastAsia="en-CA"/>
              </w:rPr>
              <w:t>suivants</w:t>
            </w:r>
            <w:proofErr w:type="spellEnd"/>
            <w:r w:rsidR="00366A59">
              <w:rPr>
                <w:rFonts w:ascii="Arial" w:hAnsi="Arial" w:cs="Arial"/>
                <w:sz w:val="20"/>
                <w:szCs w:val="20"/>
                <w:lang w:eastAsia="en-CA"/>
              </w:rPr>
              <w:t xml:space="preserve">: </w:t>
            </w:r>
          </w:p>
          <w:p w:rsidR="004D3A97" w:rsidRPr="008B3477" w:rsidRDefault="008B3477" w:rsidP="008B3477">
            <w:pPr>
              <w:numPr>
                <w:ilvl w:val="0"/>
                <w:numId w:val="16"/>
              </w:numPr>
              <w:tabs>
                <w:tab w:val="left" w:pos="5490"/>
              </w:tabs>
              <w:rPr>
                <w:rFonts w:ascii="Arial" w:hAnsi="Arial" w:cs="Arial"/>
                <w:sz w:val="20"/>
                <w:szCs w:val="20"/>
                <w:lang w:val="fr-CA" w:eastAsia="en-CA"/>
              </w:rPr>
            </w:pPr>
            <w:r w:rsidRPr="008B3477">
              <w:rPr>
                <w:rFonts w:ascii="Arial" w:hAnsi="Arial" w:cs="Arial"/>
                <w:sz w:val="20"/>
                <w:szCs w:val="20"/>
                <w:lang w:val="fr-CA" w:eastAsia="en-CA"/>
              </w:rPr>
              <w:lastRenderedPageBreak/>
              <w:t>Conserver et protéger l’intégrité écologique de la zone, y compris son état naturel, sa biodiversité, sa productivité et ses caractéristiques naturelles particulières (p. ex. les algues, les gisements de varech, les frayères)</w:t>
            </w:r>
          </w:p>
          <w:p w:rsidR="004D3A97" w:rsidRPr="008B3477" w:rsidRDefault="008B3477" w:rsidP="008B3477">
            <w:pPr>
              <w:numPr>
                <w:ilvl w:val="0"/>
                <w:numId w:val="16"/>
              </w:numPr>
              <w:tabs>
                <w:tab w:val="left" w:pos="5490"/>
              </w:tabs>
              <w:rPr>
                <w:rFonts w:ascii="Arial" w:hAnsi="Arial" w:cs="Arial"/>
                <w:sz w:val="20"/>
                <w:szCs w:val="20"/>
                <w:lang w:val="fr-CA" w:eastAsia="en-CA"/>
              </w:rPr>
            </w:pPr>
            <w:r w:rsidRPr="008B3477">
              <w:rPr>
                <w:rFonts w:ascii="Arial" w:hAnsi="Arial" w:cs="Arial"/>
                <w:sz w:val="20"/>
                <w:szCs w:val="20"/>
                <w:lang w:val="fr-CA" w:eastAsia="en-CA"/>
              </w:rPr>
              <w:t>Soutenir l’utilisation écologiquement durable des ressources marines vivantes dans la zone</w:t>
            </w:r>
          </w:p>
          <w:p w:rsidR="004D3A97" w:rsidRPr="008B3477" w:rsidRDefault="008B3477" w:rsidP="008B3477">
            <w:pPr>
              <w:numPr>
                <w:ilvl w:val="0"/>
                <w:numId w:val="16"/>
              </w:numPr>
              <w:tabs>
                <w:tab w:val="left" w:pos="5490"/>
              </w:tabs>
              <w:rPr>
                <w:rFonts w:ascii="Arial" w:hAnsi="Arial" w:cs="Arial"/>
                <w:sz w:val="20"/>
                <w:szCs w:val="20"/>
                <w:lang w:val="fr-CA" w:eastAsia="en-CA"/>
              </w:rPr>
            </w:pPr>
            <w:r w:rsidRPr="008B3477">
              <w:rPr>
                <w:rFonts w:ascii="Arial" w:hAnsi="Arial" w:cs="Arial"/>
                <w:sz w:val="20"/>
                <w:szCs w:val="20"/>
                <w:lang w:val="fr-CA" w:eastAsia="en-CA"/>
              </w:rPr>
              <w:t>Protéger et soutenir les pêches traditionnelles à engins fixes dans la région, y compris la pêche du homard, du hareng, des poissons de fond et autres</w:t>
            </w:r>
          </w:p>
          <w:p w:rsidR="004D3A97" w:rsidRPr="008B3477" w:rsidRDefault="008B3477" w:rsidP="008B3477">
            <w:pPr>
              <w:numPr>
                <w:ilvl w:val="0"/>
                <w:numId w:val="16"/>
              </w:numPr>
              <w:tabs>
                <w:tab w:val="left" w:pos="5490"/>
              </w:tabs>
              <w:rPr>
                <w:rFonts w:ascii="Arial" w:hAnsi="Arial" w:cs="Arial"/>
                <w:sz w:val="20"/>
                <w:szCs w:val="20"/>
                <w:lang w:val="fr-CA" w:eastAsia="en-CA"/>
              </w:rPr>
            </w:pPr>
            <w:r w:rsidRPr="008B3477">
              <w:rPr>
                <w:rFonts w:ascii="Arial" w:hAnsi="Arial" w:cs="Arial"/>
                <w:sz w:val="20"/>
                <w:szCs w:val="20"/>
                <w:lang w:val="fr-CA" w:eastAsia="en-CA"/>
              </w:rPr>
              <w:t>Contribuer à préserver les valeurs culturelles de la région et maintenir un lien étroit entre les communautés locales et la mer</w:t>
            </w:r>
          </w:p>
          <w:p w:rsidR="004D3A97" w:rsidRPr="008B3477" w:rsidRDefault="008B3477" w:rsidP="008B3477">
            <w:pPr>
              <w:numPr>
                <w:ilvl w:val="0"/>
                <w:numId w:val="16"/>
              </w:numPr>
              <w:tabs>
                <w:tab w:val="left" w:pos="5490"/>
              </w:tabs>
              <w:rPr>
                <w:rFonts w:ascii="Arial" w:hAnsi="Arial" w:cs="Arial"/>
                <w:sz w:val="20"/>
                <w:szCs w:val="20"/>
                <w:lang w:val="fr-CA" w:eastAsia="en-CA"/>
              </w:rPr>
            </w:pPr>
            <w:r w:rsidRPr="008B3477">
              <w:rPr>
                <w:rFonts w:ascii="Arial" w:hAnsi="Arial" w:cs="Arial"/>
                <w:sz w:val="20"/>
                <w:szCs w:val="20"/>
                <w:lang w:val="fr-CA" w:eastAsia="en-CA"/>
              </w:rPr>
              <w:t>Favoriser la collaboration entre la science, l’industrie et les collectivités locales pour mieux comprendre et gérer les ressources marines vivantes et l’écosystème en général</w:t>
            </w:r>
          </w:p>
          <w:p w:rsidR="000D5FC8" w:rsidRPr="008B3477" w:rsidRDefault="000D5FC8" w:rsidP="00A86C47">
            <w:pPr>
              <w:tabs>
                <w:tab w:val="left" w:pos="5490"/>
              </w:tabs>
              <w:rPr>
                <w:rFonts w:ascii="Arial" w:hAnsi="Arial" w:cs="Arial"/>
                <w:sz w:val="20"/>
                <w:szCs w:val="20"/>
                <w:lang w:val="fr-CA" w:eastAsia="en-CA"/>
              </w:rPr>
            </w:pPr>
          </w:p>
          <w:p w:rsidR="00366A59" w:rsidRDefault="000D5FC8" w:rsidP="00A86C47">
            <w:pPr>
              <w:tabs>
                <w:tab w:val="left" w:pos="5490"/>
              </w:tabs>
              <w:rPr>
                <w:rFonts w:ascii="Arial" w:hAnsi="Arial" w:cs="Arial"/>
                <w:sz w:val="20"/>
                <w:szCs w:val="20"/>
                <w:lang w:eastAsia="en-CA"/>
              </w:rPr>
            </w:pPr>
            <w:r w:rsidRPr="00C6214E">
              <w:rPr>
                <w:rFonts w:ascii="Arial" w:hAnsi="Arial" w:cs="Arial"/>
                <w:sz w:val="20"/>
                <w:szCs w:val="20"/>
                <w:lang w:eastAsia="en-CA"/>
              </w:rPr>
              <w:t>The</w:t>
            </w:r>
            <w:r w:rsidR="00C6214E">
              <w:rPr>
                <w:rFonts w:ascii="Arial" w:hAnsi="Arial" w:cs="Arial"/>
                <w:sz w:val="20"/>
                <w:szCs w:val="20"/>
                <w:lang w:eastAsia="en-CA"/>
              </w:rPr>
              <w:t xml:space="preserve"> </w:t>
            </w:r>
            <w:r w:rsidRPr="00C6214E">
              <w:rPr>
                <w:rFonts w:ascii="Arial" w:hAnsi="Arial" w:cs="Arial"/>
                <w:sz w:val="20"/>
                <w:szCs w:val="20"/>
                <w:lang w:eastAsia="en-CA"/>
              </w:rPr>
              <w:t xml:space="preserve">goals </w:t>
            </w:r>
            <w:r w:rsidR="000C7B47" w:rsidRPr="00C6214E">
              <w:rPr>
                <w:rFonts w:ascii="Arial" w:hAnsi="Arial" w:cs="Arial"/>
                <w:sz w:val="20"/>
                <w:szCs w:val="20"/>
                <w:lang w:eastAsia="en-CA"/>
              </w:rPr>
              <w:t xml:space="preserve">are intended to </w:t>
            </w:r>
            <w:r w:rsidR="00156349">
              <w:rPr>
                <w:rFonts w:ascii="Arial" w:hAnsi="Arial" w:cs="Arial"/>
                <w:sz w:val="20"/>
                <w:szCs w:val="20"/>
                <w:lang w:eastAsia="en-CA"/>
              </w:rPr>
              <w:t xml:space="preserve">highlight </w:t>
            </w:r>
            <w:r w:rsidR="00C6214E">
              <w:rPr>
                <w:rFonts w:ascii="Arial" w:hAnsi="Arial" w:cs="Arial"/>
                <w:sz w:val="20"/>
                <w:szCs w:val="20"/>
                <w:lang w:eastAsia="en-CA"/>
              </w:rPr>
              <w:t>the</w:t>
            </w:r>
            <w:r w:rsidR="000C7B47" w:rsidRPr="00C6214E">
              <w:rPr>
                <w:rFonts w:ascii="Arial" w:hAnsi="Arial" w:cs="Arial"/>
                <w:sz w:val="20"/>
                <w:szCs w:val="20"/>
                <w:lang w:eastAsia="en-CA"/>
              </w:rPr>
              <w:t xml:space="preserve"> </w:t>
            </w:r>
            <w:r w:rsidRPr="00C6214E">
              <w:rPr>
                <w:rFonts w:ascii="Arial" w:hAnsi="Arial" w:cs="Arial"/>
                <w:sz w:val="20"/>
                <w:szCs w:val="20"/>
                <w:lang w:eastAsia="en-CA"/>
              </w:rPr>
              <w:t xml:space="preserve">ecological, socioeconomic and cultural </w:t>
            </w:r>
            <w:r w:rsidR="00C6214E" w:rsidRPr="00C6214E">
              <w:rPr>
                <w:rFonts w:ascii="Arial" w:hAnsi="Arial" w:cs="Arial"/>
                <w:sz w:val="20"/>
                <w:szCs w:val="20"/>
                <w:lang w:eastAsia="en-CA"/>
              </w:rPr>
              <w:t>value</w:t>
            </w:r>
            <w:r w:rsidR="00C6214E">
              <w:rPr>
                <w:rFonts w:ascii="Arial" w:hAnsi="Arial" w:cs="Arial"/>
                <w:sz w:val="20"/>
                <w:szCs w:val="20"/>
                <w:lang w:eastAsia="en-CA"/>
              </w:rPr>
              <w:t xml:space="preserve"> </w:t>
            </w:r>
            <w:r w:rsidR="000C7B47" w:rsidRPr="00C6214E">
              <w:rPr>
                <w:rFonts w:ascii="Arial" w:hAnsi="Arial" w:cs="Arial"/>
                <w:sz w:val="20"/>
                <w:szCs w:val="20"/>
                <w:lang w:eastAsia="en-CA"/>
              </w:rPr>
              <w:t>of the area</w:t>
            </w:r>
            <w:r w:rsidR="00C6214E">
              <w:rPr>
                <w:rFonts w:ascii="Arial" w:hAnsi="Arial" w:cs="Arial"/>
                <w:sz w:val="20"/>
                <w:szCs w:val="20"/>
                <w:lang w:eastAsia="en-CA"/>
              </w:rPr>
              <w:t xml:space="preserve"> as overarching priorities for MPA management</w:t>
            </w:r>
            <w:r w:rsidRPr="00C6214E">
              <w:rPr>
                <w:rFonts w:ascii="Arial" w:hAnsi="Arial" w:cs="Arial"/>
                <w:sz w:val="20"/>
                <w:szCs w:val="20"/>
                <w:lang w:eastAsia="en-CA"/>
              </w:rPr>
              <w:t>.</w:t>
            </w:r>
            <w:r>
              <w:rPr>
                <w:rFonts w:ascii="Arial" w:hAnsi="Arial" w:cs="Arial"/>
                <w:sz w:val="20"/>
                <w:szCs w:val="20"/>
                <w:lang w:eastAsia="en-CA"/>
              </w:rPr>
              <w:t xml:space="preserve"> </w:t>
            </w:r>
            <w:r w:rsidR="00163A31">
              <w:rPr>
                <w:rFonts w:ascii="Arial" w:hAnsi="Arial" w:cs="Arial"/>
                <w:sz w:val="20"/>
                <w:szCs w:val="20"/>
                <w:lang w:eastAsia="en-CA"/>
              </w:rPr>
              <w:t xml:space="preserve">The ESFPA has repeatedly asked DFO how an MPA would help protect the fishery. </w:t>
            </w:r>
            <w:r>
              <w:rPr>
                <w:rFonts w:ascii="Arial" w:hAnsi="Arial" w:cs="Arial"/>
                <w:sz w:val="20"/>
                <w:szCs w:val="20"/>
                <w:lang w:eastAsia="en-CA"/>
              </w:rPr>
              <w:t>In additi</w:t>
            </w:r>
            <w:r w:rsidR="00163A31">
              <w:rPr>
                <w:rFonts w:ascii="Arial" w:hAnsi="Arial" w:cs="Arial"/>
                <w:sz w:val="20"/>
                <w:szCs w:val="20"/>
                <w:lang w:eastAsia="en-CA"/>
              </w:rPr>
              <w:t xml:space="preserve">on to protecting the ecosystem upon which the fishery depends, </w:t>
            </w:r>
            <w:r w:rsidR="0049740E">
              <w:rPr>
                <w:rFonts w:ascii="Arial" w:hAnsi="Arial" w:cs="Arial"/>
                <w:sz w:val="20"/>
                <w:szCs w:val="20"/>
                <w:lang w:eastAsia="en-CA"/>
              </w:rPr>
              <w:t xml:space="preserve">Goal 3 states that </w:t>
            </w:r>
            <w:r>
              <w:rPr>
                <w:rFonts w:ascii="Arial" w:hAnsi="Arial" w:cs="Arial"/>
                <w:sz w:val="20"/>
                <w:szCs w:val="20"/>
                <w:lang w:eastAsia="en-CA"/>
              </w:rPr>
              <w:t>the MPA will aim to protect traditional low-impact fisheries</w:t>
            </w:r>
            <w:r w:rsidR="0049740E">
              <w:rPr>
                <w:rFonts w:ascii="Arial" w:hAnsi="Arial" w:cs="Arial"/>
                <w:sz w:val="20"/>
                <w:szCs w:val="20"/>
                <w:lang w:eastAsia="en-CA"/>
              </w:rPr>
              <w:t xml:space="preserve"> so </w:t>
            </w:r>
            <w:r w:rsidR="00156349">
              <w:rPr>
                <w:rFonts w:ascii="Arial" w:hAnsi="Arial" w:cs="Arial"/>
                <w:sz w:val="20"/>
                <w:szCs w:val="20"/>
                <w:lang w:eastAsia="en-CA"/>
              </w:rPr>
              <w:t xml:space="preserve">that </w:t>
            </w:r>
            <w:r w:rsidR="0049740E">
              <w:rPr>
                <w:rFonts w:ascii="Arial" w:hAnsi="Arial" w:cs="Arial"/>
                <w:sz w:val="20"/>
                <w:szCs w:val="20"/>
                <w:lang w:eastAsia="en-CA"/>
              </w:rPr>
              <w:t>these fisheries are treated as conservation priorities for the MPA. Goal 2 also indicates a desire to support sustainable fisheries and Goal 4 focuses on</w:t>
            </w:r>
            <w:r>
              <w:rPr>
                <w:rFonts w:ascii="Arial" w:hAnsi="Arial" w:cs="Arial"/>
                <w:sz w:val="20"/>
                <w:szCs w:val="20"/>
                <w:lang w:eastAsia="en-CA"/>
              </w:rPr>
              <w:t xml:space="preserve"> preserv</w:t>
            </w:r>
            <w:r w:rsidR="0049740E">
              <w:rPr>
                <w:rFonts w:ascii="Arial" w:hAnsi="Arial" w:cs="Arial"/>
                <w:sz w:val="20"/>
                <w:szCs w:val="20"/>
                <w:lang w:eastAsia="en-CA"/>
              </w:rPr>
              <w:t>ing</w:t>
            </w:r>
            <w:r>
              <w:rPr>
                <w:rFonts w:ascii="Arial" w:hAnsi="Arial" w:cs="Arial"/>
                <w:sz w:val="20"/>
                <w:szCs w:val="20"/>
                <w:lang w:eastAsia="en-CA"/>
              </w:rPr>
              <w:t xml:space="preserve"> cultural values.</w:t>
            </w:r>
          </w:p>
          <w:p w:rsidR="000D5FC8" w:rsidRDefault="000D5FC8" w:rsidP="00A86C47">
            <w:pPr>
              <w:tabs>
                <w:tab w:val="left" w:pos="5490"/>
              </w:tabs>
              <w:rPr>
                <w:rFonts w:ascii="Arial" w:hAnsi="Arial" w:cs="Arial"/>
                <w:sz w:val="20"/>
                <w:szCs w:val="20"/>
                <w:lang w:eastAsia="en-CA"/>
              </w:rPr>
            </w:pPr>
          </w:p>
          <w:p w:rsidR="00F51F0C" w:rsidRDefault="00F51F0C" w:rsidP="00F51F0C">
            <w:pPr>
              <w:tabs>
                <w:tab w:val="left" w:pos="5490"/>
              </w:tabs>
              <w:rPr>
                <w:rFonts w:ascii="Arial" w:hAnsi="Arial" w:cs="Arial"/>
                <w:sz w:val="20"/>
                <w:szCs w:val="20"/>
                <w:lang w:eastAsia="en-CA"/>
              </w:rPr>
            </w:pPr>
            <w:r w:rsidRPr="0049740E">
              <w:rPr>
                <w:rFonts w:ascii="Arial" w:hAnsi="Arial" w:cs="Arial"/>
                <w:sz w:val="20"/>
                <w:szCs w:val="20"/>
                <w:u w:val="single"/>
                <w:lang w:eastAsia="en-CA"/>
              </w:rPr>
              <w:t>Discussion</w:t>
            </w:r>
            <w:r w:rsidRPr="00A86C47">
              <w:rPr>
                <w:rFonts w:ascii="Arial" w:hAnsi="Arial" w:cs="Arial"/>
                <w:sz w:val="20"/>
                <w:szCs w:val="20"/>
                <w:lang w:eastAsia="en-CA"/>
              </w:rPr>
              <w:t>:</w:t>
            </w:r>
          </w:p>
          <w:p w:rsidR="00F903C2" w:rsidRPr="008B3477" w:rsidRDefault="008B3477" w:rsidP="008B3477">
            <w:pPr>
              <w:pStyle w:val="ListParagraph"/>
              <w:numPr>
                <w:ilvl w:val="0"/>
                <w:numId w:val="17"/>
              </w:numPr>
              <w:rPr>
                <w:rFonts w:ascii="Arial" w:hAnsi="Arial" w:cs="Arial"/>
                <w:sz w:val="20"/>
                <w:szCs w:val="20"/>
                <w:lang w:val="fr-CA" w:eastAsia="en-CA"/>
              </w:rPr>
            </w:pPr>
            <w:r w:rsidRPr="008B3477">
              <w:rPr>
                <w:rFonts w:ascii="Arial" w:hAnsi="Arial" w:cs="Arial"/>
                <w:sz w:val="20"/>
                <w:szCs w:val="20"/>
                <w:lang w:val="fr-CA" w:eastAsia="en-CA"/>
              </w:rPr>
              <w:t>Il est mentionné que les pêcheurs font ces choses depuis 100 ans. Pourquoi une ZPM est-elle nécessaire? [Réponse de Pêches et Océans Canada : La création d’une ZPM pourrait aider à protéger à long terme ce que vous avez maintenant – elle protégerait l’écosystème et la pêche tout en maintenant l’accès de la collectivité. Une ZPM de la côte Est pourrait aider à se protéger contre l’expansion des activités industrielles dans l’eau et pourrait aussi rehausser l’importance de la zone à prendre en considération dans les évaluations environnementales pour les développements industriels terrestres.]</w:t>
            </w:r>
          </w:p>
          <w:p w:rsidR="00363F53" w:rsidRPr="008B3477" w:rsidRDefault="008B3477" w:rsidP="008B3477">
            <w:pPr>
              <w:pStyle w:val="ListParagraph"/>
              <w:numPr>
                <w:ilvl w:val="0"/>
                <w:numId w:val="17"/>
              </w:numPr>
              <w:rPr>
                <w:rFonts w:ascii="Arial" w:hAnsi="Arial" w:cs="Arial"/>
                <w:sz w:val="20"/>
                <w:szCs w:val="20"/>
                <w:lang w:val="fr-CA" w:eastAsia="en-CA"/>
              </w:rPr>
            </w:pPr>
            <w:r w:rsidRPr="008B3477">
              <w:rPr>
                <w:rFonts w:ascii="Arial" w:hAnsi="Arial" w:cs="Arial"/>
                <w:sz w:val="20"/>
                <w:szCs w:val="20"/>
                <w:lang w:val="fr-CA" w:eastAsia="en-CA"/>
              </w:rPr>
              <w:t>Un membre déclare que si l’un des objectifs est de ne pas avoir de répercussion sur la pêche, qu’en est-il du pétoncle? [Réponse de Pêches et Océans Canada : Il est vrai que la pêche aux engins de fond mobiles ne serait probablement pas compatible avec une ZPM. Toutefois, le Ministère collaborerait avec les pêcheurs de pétoncles pour ajuster les limites de la ZPM afin d’éviter d’importants gisements de pétoncles.]</w:t>
            </w:r>
          </w:p>
        </w:tc>
      </w:tr>
      <w:tr w:rsidR="00741095" w:rsidRPr="007F4D06" w:rsidTr="00E70E1F">
        <w:trPr>
          <w:trHeight w:val="428"/>
          <w:jc w:val="center"/>
        </w:trPr>
        <w:tc>
          <w:tcPr>
            <w:tcW w:w="692" w:type="dxa"/>
            <w:tcBorders>
              <w:top w:val="single" w:sz="4" w:space="0" w:color="auto"/>
              <w:left w:val="single" w:sz="4" w:space="0" w:color="auto"/>
              <w:right w:val="single" w:sz="4" w:space="0" w:color="auto"/>
            </w:tcBorders>
            <w:vAlign w:val="center"/>
          </w:tcPr>
          <w:p w:rsidR="00741095" w:rsidRPr="008B3477" w:rsidRDefault="00741095" w:rsidP="00741095">
            <w:pPr>
              <w:tabs>
                <w:tab w:val="left" w:pos="5490"/>
              </w:tabs>
              <w:spacing w:before="40" w:after="40"/>
              <w:jc w:val="center"/>
              <w:rPr>
                <w:rFonts w:ascii="Arial" w:hAnsi="Arial" w:cs="Arial"/>
                <w:sz w:val="20"/>
                <w:szCs w:val="20"/>
                <w:lang w:val="fr-CA" w:eastAsia="en-CA"/>
              </w:rPr>
            </w:pPr>
          </w:p>
        </w:tc>
        <w:tc>
          <w:tcPr>
            <w:tcW w:w="9571" w:type="dxa"/>
            <w:tcBorders>
              <w:top w:val="single" w:sz="4" w:space="0" w:color="auto"/>
              <w:left w:val="single" w:sz="4" w:space="0" w:color="auto"/>
              <w:bottom w:val="single" w:sz="4" w:space="0" w:color="auto"/>
              <w:right w:val="single" w:sz="4" w:space="0" w:color="auto"/>
            </w:tcBorders>
            <w:shd w:val="clear" w:color="auto" w:fill="auto"/>
            <w:vAlign w:val="center"/>
          </w:tcPr>
          <w:p w:rsidR="00741095" w:rsidRPr="008B3477" w:rsidRDefault="008B3477" w:rsidP="00741095">
            <w:pPr>
              <w:tabs>
                <w:tab w:val="left" w:pos="5490"/>
              </w:tabs>
              <w:rPr>
                <w:rFonts w:ascii="Arial" w:hAnsi="Arial" w:cs="Arial"/>
                <w:b/>
                <w:sz w:val="20"/>
                <w:szCs w:val="20"/>
                <w:lang w:val="fr-CA" w:eastAsia="en-CA"/>
              </w:rPr>
            </w:pPr>
            <w:r w:rsidRPr="008B3477">
              <w:rPr>
                <w:rFonts w:ascii="Arial" w:hAnsi="Arial" w:cs="Arial"/>
                <w:b/>
                <w:sz w:val="20"/>
                <w:szCs w:val="20"/>
                <w:lang w:val="fr-CA" w:eastAsia="en-CA"/>
              </w:rPr>
              <w:t>Règlement sur les ZPM en vertu de la</w:t>
            </w:r>
            <w:r w:rsidRPr="008B3477">
              <w:rPr>
                <w:rFonts w:ascii="Arial" w:hAnsi="Arial" w:cs="Arial"/>
                <w:b/>
                <w:i/>
                <w:sz w:val="20"/>
                <w:szCs w:val="20"/>
                <w:lang w:val="fr-CA" w:eastAsia="en-CA"/>
              </w:rPr>
              <w:t xml:space="preserve"> Loi sur les océans</w:t>
            </w:r>
          </w:p>
        </w:tc>
      </w:tr>
      <w:tr w:rsidR="00741095" w:rsidRPr="007F4D06" w:rsidTr="00E70E1F">
        <w:trPr>
          <w:trHeight w:val="428"/>
          <w:jc w:val="center"/>
        </w:trPr>
        <w:tc>
          <w:tcPr>
            <w:tcW w:w="692" w:type="dxa"/>
            <w:tcBorders>
              <w:top w:val="single" w:sz="4" w:space="0" w:color="auto"/>
              <w:left w:val="single" w:sz="4" w:space="0" w:color="auto"/>
              <w:right w:val="single" w:sz="4" w:space="0" w:color="auto"/>
            </w:tcBorders>
            <w:vAlign w:val="center"/>
          </w:tcPr>
          <w:p w:rsidR="00741095" w:rsidRPr="008B3477" w:rsidRDefault="00741095" w:rsidP="00741095">
            <w:pPr>
              <w:tabs>
                <w:tab w:val="left" w:pos="5490"/>
              </w:tabs>
              <w:spacing w:before="40" w:after="40"/>
              <w:jc w:val="center"/>
              <w:rPr>
                <w:rFonts w:ascii="Arial" w:hAnsi="Arial" w:cs="Arial"/>
                <w:sz w:val="20"/>
                <w:szCs w:val="20"/>
                <w:lang w:val="fr-CA" w:eastAsia="en-CA"/>
              </w:rPr>
            </w:pPr>
          </w:p>
        </w:tc>
        <w:tc>
          <w:tcPr>
            <w:tcW w:w="9571" w:type="dxa"/>
            <w:tcBorders>
              <w:top w:val="single" w:sz="4" w:space="0" w:color="auto"/>
              <w:left w:val="single" w:sz="4" w:space="0" w:color="auto"/>
              <w:bottom w:val="single" w:sz="4" w:space="0" w:color="auto"/>
              <w:right w:val="single" w:sz="4" w:space="0" w:color="auto"/>
            </w:tcBorders>
            <w:shd w:val="clear" w:color="auto" w:fill="auto"/>
            <w:vAlign w:val="center"/>
          </w:tcPr>
          <w:p w:rsidR="00A4103F" w:rsidRPr="008B3477" w:rsidRDefault="008B3477" w:rsidP="00741095">
            <w:pPr>
              <w:tabs>
                <w:tab w:val="left" w:pos="5490"/>
              </w:tabs>
              <w:rPr>
                <w:rFonts w:ascii="Arial" w:hAnsi="Arial" w:cs="Arial"/>
                <w:sz w:val="20"/>
                <w:szCs w:val="20"/>
                <w:lang w:val="fr-CA" w:eastAsia="en-CA"/>
              </w:rPr>
            </w:pPr>
            <w:r w:rsidRPr="008B3477">
              <w:rPr>
                <w:rFonts w:ascii="Arial" w:hAnsi="Arial" w:cs="Arial"/>
                <w:sz w:val="20"/>
                <w:szCs w:val="20"/>
                <w:lang w:val="fr-CA" w:eastAsia="en-CA"/>
              </w:rPr>
              <w:t>Pêches et Océans Canada explique que le Règlement sur les ZPM en vertu de la Loi sur les océans change très rarement. Pour apporter des changements, nous devrons suivre le même processus de consultation que celui qui a mené à la création de la ZPM. Le Ministère veut prendre le temps de bien faire les règlements du premier coup pour éviter d’avoir à apporter des changements.</w:t>
            </w:r>
          </w:p>
          <w:p w:rsidR="00A4103F" w:rsidRPr="008B3477" w:rsidRDefault="00A4103F" w:rsidP="00741095">
            <w:pPr>
              <w:tabs>
                <w:tab w:val="left" w:pos="5490"/>
              </w:tabs>
              <w:rPr>
                <w:rFonts w:ascii="Arial" w:hAnsi="Arial" w:cs="Arial"/>
                <w:sz w:val="20"/>
                <w:szCs w:val="20"/>
                <w:lang w:val="fr-CA" w:eastAsia="en-CA"/>
              </w:rPr>
            </w:pPr>
          </w:p>
          <w:p w:rsidR="00A4103F" w:rsidRDefault="00A4103F" w:rsidP="00A4103F">
            <w:pPr>
              <w:tabs>
                <w:tab w:val="left" w:pos="5490"/>
              </w:tabs>
              <w:rPr>
                <w:rFonts w:ascii="Arial" w:hAnsi="Arial" w:cs="Arial"/>
                <w:sz w:val="20"/>
                <w:szCs w:val="20"/>
                <w:lang w:eastAsia="en-CA"/>
              </w:rPr>
            </w:pPr>
            <w:r w:rsidRPr="0049740E">
              <w:rPr>
                <w:rFonts w:ascii="Arial" w:hAnsi="Arial" w:cs="Arial"/>
                <w:sz w:val="20"/>
                <w:szCs w:val="20"/>
                <w:u w:val="single"/>
                <w:lang w:eastAsia="en-CA"/>
              </w:rPr>
              <w:t>Discussion</w:t>
            </w:r>
            <w:r w:rsidRPr="00A86C47">
              <w:rPr>
                <w:rFonts w:ascii="Arial" w:hAnsi="Arial" w:cs="Arial"/>
                <w:sz w:val="20"/>
                <w:szCs w:val="20"/>
                <w:lang w:eastAsia="en-CA"/>
              </w:rPr>
              <w:t>:</w:t>
            </w:r>
          </w:p>
          <w:p w:rsidR="004A03F0" w:rsidRDefault="008B3477" w:rsidP="008B3477">
            <w:pPr>
              <w:pStyle w:val="ListParagraph"/>
              <w:numPr>
                <w:ilvl w:val="0"/>
                <w:numId w:val="19"/>
              </w:numPr>
              <w:tabs>
                <w:tab w:val="left" w:pos="5490"/>
              </w:tabs>
              <w:rPr>
                <w:rFonts w:ascii="Arial" w:hAnsi="Arial" w:cs="Arial"/>
                <w:sz w:val="20"/>
                <w:szCs w:val="20"/>
                <w:lang w:eastAsia="en-CA"/>
              </w:rPr>
            </w:pPr>
            <w:r w:rsidRPr="008B3477">
              <w:rPr>
                <w:rFonts w:ascii="Arial" w:hAnsi="Arial" w:cs="Arial"/>
                <w:sz w:val="20"/>
                <w:szCs w:val="20"/>
                <w:lang w:val="fr-CA" w:eastAsia="en-CA"/>
              </w:rPr>
              <w:t xml:space="preserve">L’ESFPA exprime un manque de confiance envers Pêches et Océans Canada. On craint des changements dans la réglementation après la désignation de la ZPM. On craint que le ministre ait plus de pouvoir après la désignation. [Réponse de Pêches et Océans Canada : Le ministre a déjà le pouvoir de gérer les pêches. </w:t>
            </w:r>
            <w:r w:rsidRPr="008B3477">
              <w:rPr>
                <w:rFonts w:ascii="Arial" w:hAnsi="Arial" w:cs="Arial"/>
                <w:sz w:val="20"/>
                <w:szCs w:val="20"/>
                <w:lang w:eastAsia="en-CA"/>
              </w:rPr>
              <w:t xml:space="preserve">La </w:t>
            </w:r>
            <w:proofErr w:type="spellStart"/>
            <w:r w:rsidRPr="008B3477">
              <w:rPr>
                <w:rFonts w:ascii="Arial" w:hAnsi="Arial" w:cs="Arial"/>
                <w:sz w:val="20"/>
                <w:szCs w:val="20"/>
                <w:lang w:eastAsia="en-CA"/>
              </w:rPr>
              <w:t>création</w:t>
            </w:r>
            <w:proofErr w:type="spellEnd"/>
            <w:r w:rsidRPr="008B3477">
              <w:rPr>
                <w:rFonts w:ascii="Arial" w:hAnsi="Arial" w:cs="Arial"/>
                <w:sz w:val="20"/>
                <w:szCs w:val="20"/>
                <w:lang w:eastAsia="en-CA"/>
              </w:rPr>
              <w:t xml:space="preserve"> </w:t>
            </w:r>
            <w:proofErr w:type="spellStart"/>
            <w:r w:rsidRPr="008B3477">
              <w:rPr>
                <w:rFonts w:ascii="Arial" w:hAnsi="Arial" w:cs="Arial"/>
                <w:sz w:val="20"/>
                <w:szCs w:val="20"/>
                <w:lang w:eastAsia="en-CA"/>
              </w:rPr>
              <w:t>d’une</w:t>
            </w:r>
            <w:proofErr w:type="spellEnd"/>
            <w:r w:rsidRPr="008B3477">
              <w:rPr>
                <w:rFonts w:ascii="Arial" w:hAnsi="Arial" w:cs="Arial"/>
                <w:sz w:val="20"/>
                <w:szCs w:val="20"/>
                <w:lang w:eastAsia="en-CA"/>
              </w:rPr>
              <w:t xml:space="preserve"> ZPM </w:t>
            </w:r>
            <w:proofErr w:type="spellStart"/>
            <w:r w:rsidRPr="008B3477">
              <w:rPr>
                <w:rFonts w:ascii="Arial" w:hAnsi="Arial" w:cs="Arial"/>
                <w:sz w:val="20"/>
                <w:szCs w:val="20"/>
                <w:lang w:eastAsia="en-CA"/>
              </w:rPr>
              <w:t>n’y</w:t>
            </w:r>
            <w:proofErr w:type="spellEnd"/>
            <w:r w:rsidRPr="008B3477">
              <w:rPr>
                <w:rFonts w:ascii="Arial" w:hAnsi="Arial" w:cs="Arial"/>
                <w:sz w:val="20"/>
                <w:szCs w:val="20"/>
                <w:lang w:eastAsia="en-CA"/>
              </w:rPr>
              <w:t xml:space="preserve"> </w:t>
            </w:r>
            <w:proofErr w:type="spellStart"/>
            <w:r w:rsidRPr="008B3477">
              <w:rPr>
                <w:rFonts w:ascii="Arial" w:hAnsi="Arial" w:cs="Arial"/>
                <w:sz w:val="20"/>
                <w:szCs w:val="20"/>
                <w:lang w:eastAsia="en-CA"/>
              </w:rPr>
              <w:t>changera</w:t>
            </w:r>
            <w:proofErr w:type="spellEnd"/>
            <w:r w:rsidRPr="008B3477">
              <w:rPr>
                <w:rFonts w:ascii="Arial" w:hAnsi="Arial" w:cs="Arial"/>
                <w:sz w:val="20"/>
                <w:szCs w:val="20"/>
                <w:lang w:eastAsia="en-CA"/>
              </w:rPr>
              <w:t xml:space="preserve"> </w:t>
            </w:r>
            <w:proofErr w:type="spellStart"/>
            <w:r w:rsidRPr="008B3477">
              <w:rPr>
                <w:rFonts w:ascii="Arial" w:hAnsi="Arial" w:cs="Arial"/>
                <w:sz w:val="20"/>
                <w:szCs w:val="20"/>
                <w:lang w:eastAsia="en-CA"/>
              </w:rPr>
              <w:t>rien</w:t>
            </w:r>
            <w:proofErr w:type="spellEnd"/>
            <w:r w:rsidRPr="008B3477">
              <w:rPr>
                <w:rFonts w:ascii="Arial" w:hAnsi="Arial" w:cs="Arial"/>
                <w:sz w:val="20"/>
                <w:szCs w:val="20"/>
                <w:lang w:eastAsia="en-CA"/>
              </w:rPr>
              <w:t>.]</w:t>
            </w:r>
          </w:p>
          <w:p w:rsidR="006C7DA7" w:rsidRPr="008B3477" w:rsidRDefault="008B3477" w:rsidP="008B3477">
            <w:pPr>
              <w:pStyle w:val="ListParagraph"/>
              <w:numPr>
                <w:ilvl w:val="0"/>
                <w:numId w:val="19"/>
              </w:numPr>
              <w:tabs>
                <w:tab w:val="left" w:pos="5490"/>
              </w:tabs>
              <w:rPr>
                <w:rFonts w:ascii="Arial" w:hAnsi="Arial" w:cs="Arial"/>
                <w:sz w:val="20"/>
                <w:szCs w:val="20"/>
                <w:lang w:val="fr-CA" w:eastAsia="en-CA"/>
              </w:rPr>
            </w:pPr>
            <w:r w:rsidRPr="008B3477">
              <w:rPr>
                <w:rFonts w:ascii="Arial" w:hAnsi="Arial" w:cs="Arial"/>
                <w:sz w:val="20"/>
                <w:szCs w:val="20"/>
                <w:lang w:val="fr-CA" w:eastAsia="en-CA"/>
              </w:rPr>
              <w:t xml:space="preserve">Une autre question porte sur le moment où l’ESFPA obtiendra les garanties qu’elle recherche. Si l’association ne fait que donner des conseils, quelle garantie y </w:t>
            </w:r>
            <w:proofErr w:type="spellStart"/>
            <w:r w:rsidRPr="008B3477">
              <w:rPr>
                <w:rFonts w:ascii="Arial" w:hAnsi="Arial" w:cs="Arial"/>
                <w:sz w:val="20"/>
                <w:szCs w:val="20"/>
                <w:lang w:val="fr-CA" w:eastAsia="en-CA"/>
              </w:rPr>
              <w:t>a-t-il</w:t>
            </w:r>
            <w:proofErr w:type="spellEnd"/>
            <w:r w:rsidRPr="008B3477">
              <w:rPr>
                <w:rFonts w:ascii="Arial" w:hAnsi="Arial" w:cs="Arial"/>
                <w:sz w:val="20"/>
                <w:szCs w:val="20"/>
                <w:lang w:val="fr-CA" w:eastAsia="en-CA"/>
              </w:rPr>
              <w:t xml:space="preserve"> que nos conseils seront reflétés dans la ZPM? [Réponse de Pêches et Océans Canada : Un règlement fédéral en vertu de la Loi sur les océans qui enchâsse ce qui a été convenu au cours du processus de consultation est la garantie la plus solide qui puisse être offerte au Canada. Le Règlement sur les ZPM est l’instrument législatif et il est très coûteux et difficile à modifier.]</w:t>
            </w:r>
          </w:p>
          <w:p w:rsidR="008B3477" w:rsidRPr="008B3477" w:rsidRDefault="008B3477" w:rsidP="008B3477">
            <w:pPr>
              <w:pStyle w:val="ListParagraph"/>
              <w:numPr>
                <w:ilvl w:val="0"/>
                <w:numId w:val="19"/>
              </w:numPr>
              <w:tabs>
                <w:tab w:val="left" w:pos="5490"/>
              </w:tabs>
              <w:rPr>
                <w:rFonts w:ascii="Arial" w:hAnsi="Arial" w:cs="Arial"/>
                <w:sz w:val="20"/>
                <w:szCs w:val="20"/>
                <w:lang w:val="fr-CA" w:eastAsia="en-CA"/>
              </w:rPr>
            </w:pPr>
            <w:r w:rsidRPr="008B3477">
              <w:rPr>
                <w:rFonts w:ascii="Arial" w:hAnsi="Arial" w:cs="Arial"/>
                <w:sz w:val="20"/>
                <w:szCs w:val="20"/>
                <w:lang w:val="fr-CA" w:eastAsia="en-CA"/>
              </w:rPr>
              <w:t>L’association est déjà réglementée à outrance et ne veut pas être visées par d’autres dispositions réglementaires. [Réponse de Pêches et Océans Canada :</w:t>
            </w:r>
          </w:p>
          <w:p w:rsidR="00A4103F" w:rsidRPr="008B3477" w:rsidRDefault="008B3477" w:rsidP="008B3477">
            <w:pPr>
              <w:pStyle w:val="ListParagraph"/>
              <w:numPr>
                <w:ilvl w:val="0"/>
                <w:numId w:val="19"/>
              </w:numPr>
              <w:tabs>
                <w:tab w:val="left" w:pos="5490"/>
              </w:tabs>
              <w:rPr>
                <w:rFonts w:ascii="Arial" w:hAnsi="Arial" w:cs="Arial"/>
                <w:sz w:val="20"/>
                <w:szCs w:val="20"/>
                <w:lang w:val="fr-CA" w:eastAsia="en-CA"/>
              </w:rPr>
            </w:pPr>
            <w:r w:rsidRPr="008B3477">
              <w:rPr>
                <w:rFonts w:ascii="Arial" w:hAnsi="Arial" w:cs="Arial"/>
                <w:sz w:val="20"/>
                <w:szCs w:val="20"/>
                <w:lang w:val="fr-CA" w:eastAsia="en-CA"/>
              </w:rPr>
              <w:t>Une ZPM n’ajoutera pas de fardeau supplémentaire aux pêcheurs côtiers traditionnels. Vos opérations quotidiennes ne changent pas. Vous n’aurez pas à remplir de documents supplémentaires. La pêche sera toujours gérée en vertu de la Loi sur les pêches.]</w:t>
            </w:r>
          </w:p>
          <w:p w:rsidR="00741095" w:rsidRPr="008B3477" w:rsidRDefault="008B3477" w:rsidP="008B3477">
            <w:pPr>
              <w:pStyle w:val="ListParagraph"/>
              <w:numPr>
                <w:ilvl w:val="0"/>
                <w:numId w:val="19"/>
              </w:numPr>
              <w:tabs>
                <w:tab w:val="left" w:pos="5490"/>
              </w:tabs>
              <w:rPr>
                <w:rFonts w:ascii="Arial" w:hAnsi="Arial" w:cs="Arial"/>
                <w:sz w:val="20"/>
                <w:szCs w:val="20"/>
                <w:lang w:val="fr-CA" w:eastAsia="en-CA"/>
              </w:rPr>
            </w:pPr>
            <w:r w:rsidRPr="008B3477">
              <w:rPr>
                <w:rFonts w:ascii="Arial" w:hAnsi="Arial" w:cs="Arial"/>
                <w:sz w:val="20"/>
                <w:szCs w:val="20"/>
                <w:lang w:val="fr-CA" w:eastAsia="en-CA"/>
              </w:rPr>
              <w:lastRenderedPageBreak/>
              <w:t>On s’interroge sur les pêches dormantes ou nouvelles qui émergent et sur la question de savoir si les pêcheurs seraient autorisés à pêcher ces espèces dans une ZPM. [Réponse de Pêches et Océans Canada : Le Règlement sur la ZPM du banc de Sainte-Anne est rédigé de manière à garder la porte ouverte pour les nouvelles pêches tant qu’elles utilisent des engins à faible incidence, comme l’a déterminé l’évaluation des risques. Par exemple, dans la zone 2 du banc Sainte-Anne, les activités suivantes peuvent être menées conformément aux dispositions de la Loi sur les pêches et des règlements connexes : « la pêche récréative et commerciale à l’aide de nasses, de casiers, de cannes et moulinets, de harpons, de palangres de fond ou de lignes à main, de filets maillants ou en plongée ».]</w:t>
            </w:r>
          </w:p>
        </w:tc>
      </w:tr>
      <w:tr w:rsidR="00741095" w:rsidRPr="007F4D06" w:rsidTr="00E70E1F">
        <w:trPr>
          <w:trHeight w:val="428"/>
          <w:jc w:val="center"/>
        </w:trPr>
        <w:tc>
          <w:tcPr>
            <w:tcW w:w="692" w:type="dxa"/>
            <w:vMerge w:val="restart"/>
            <w:tcBorders>
              <w:top w:val="single" w:sz="4" w:space="0" w:color="auto"/>
              <w:left w:val="single" w:sz="4" w:space="0" w:color="auto"/>
              <w:right w:val="single" w:sz="4" w:space="0" w:color="auto"/>
            </w:tcBorders>
            <w:vAlign w:val="center"/>
          </w:tcPr>
          <w:p w:rsidR="00741095" w:rsidRPr="00A86C47" w:rsidRDefault="00741095" w:rsidP="00741095">
            <w:pPr>
              <w:tabs>
                <w:tab w:val="left" w:pos="5490"/>
              </w:tabs>
              <w:spacing w:before="40" w:after="40"/>
              <w:jc w:val="center"/>
              <w:rPr>
                <w:rFonts w:ascii="Arial" w:hAnsi="Arial" w:cs="Arial"/>
                <w:sz w:val="20"/>
                <w:szCs w:val="20"/>
                <w:lang w:eastAsia="en-CA"/>
              </w:rPr>
            </w:pPr>
            <w:r>
              <w:rPr>
                <w:rFonts w:ascii="Arial" w:hAnsi="Arial" w:cs="Arial"/>
                <w:sz w:val="20"/>
                <w:szCs w:val="20"/>
                <w:lang w:eastAsia="en-CA"/>
              </w:rPr>
              <w:lastRenderedPageBreak/>
              <w:t>5.</w:t>
            </w:r>
          </w:p>
        </w:tc>
        <w:tc>
          <w:tcPr>
            <w:tcW w:w="9571" w:type="dxa"/>
            <w:tcBorders>
              <w:top w:val="single" w:sz="4" w:space="0" w:color="auto"/>
              <w:left w:val="single" w:sz="4" w:space="0" w:color="auto"/>
              <w:bottom w:val="single" w:sz="4" w:space="0" w:color="auto"/>
              <w:right w:val="single" w:sz="4" w:space="0" w:color="auto"/>
            </w:tcBorders>
            <w:shd w:val="clear" w:color="auto" w:fill="auto"/>
            <w:vAlign w:val="center"/>
          </w:tcPr>
          <w:p w:rsidR="00741095" w:rsidRPr="008B3477" w:rsidRDefault="008B3477" w:rsidP="00741095">
            <w:pPr>
              <w:tabs>
                <w:tab w:val="left" w:pos="5490"/>
              </w:tabs>
              <w:rPr>
                <w:rFonts w:ascii="Arial" w:hAnsi="Arial" w:cs="Arial"/>
                <w:sz w:val="20"/>
                <w:szCs w:val="20"/>
                <w:lang w:val="fr-CA" w:eastAsia="en-CA"/>
              </w:rPr>
            </w:pPr>
            <w:r w:rsidRPr="008B3477">
              <w:rPr>
                <w:rFonts w:ascii="Arial" w:hAnsi="Arial" w:cs="Arial"/>
                <w:b/>
                <w:sz w:val="20"/>
                <w:szCs w:val="20"/>
                <w:lang w:val="fr-CA" w:eastAsia="en-CA"/>
              </w:rPr>
              <w:t>Comment une ZPM protégerait-elle les pêches traditionnelles locales?</w:t>
            </w:r>
          </w:p>
        </w:tc>
      </w:tr>
      <w:tr w:rsidR="00741095" w:rsidRPr="007F4D06" w:rsidTr="008322F6">
        <w:trPr>
          <w:trHeight w:val="428"/>
          <w:jc w:val="center"/>
        </w:trPr>
        <w:tc>
          <w:tcPr>
            <w:tcW w:w="692" w:type="dxa"/>
            <w:vMerge/>
            <w:tcBorders>
              <w:left w:val="single" w:sz="4" w:space="0" w:color="auto"/>
              <w:bottom w:val="single" w:sz="4" w:space="0" w:color="auto"/>
              <w:right w:val="single" w:sz="4" w:space="0" w:color="auto"/>
            </w:tcBorders>
            <w:vAlign w:val="center"/>
          </w:tcPr>
          <w:p w:rsidR="00741095" w:rsidRPr="008B3477" w:rsidRDefault="00741095" w:rsidP="00741095">
            <w:pPr>
              <w:tabs>
                <w:tab w:val="left" w:pos="5490"/>
              </w:tabs>
              <w:spacing w:before="40" w:after="40"/>
              <w:jc w:val="center"/>
              <w:rPr>
                <w:rFonts w:ascii="Arial" w:hAnsi="Arial" w:cs="Arial"/>
                <w:sz w:val="20"/>
                <w:szCs w:val="20"/>
                <w:lang w:val="fr-CA" w:eastAsia="en-CA"/>
              </w:rPr>
            </w:pPr>
          </w:p>
        </w:tc>
        <w:tc>
          <w:tcPr>
            <w:tcW w:w="9571" w:type="dxa"/>
            <w:tcBorders>
              <w:top w:val="single" w:sz="4" w:space="0" w:color="auto"/>
              <w:left w:val="single" w:sz="4" w:space="0" w:color="auto"/>
              <w:bottom w:val="single" w:sz="4" w:space="0" w:color="auto"/>
              <w:right w:val="single" w:sz="4" w:space="0" w:color="auto"/>
            </w:tcBorders>
            <w:shd w:val="clear" w:color="auto" w:fill="auto"/>
            <w:vAlign w:val="center"/>
          </w:tcPr>
          <w:p w:rsidR="00741095" w:rsidRPr="008B3477" w:rsidRDefault="008B3477" w:rsidP="00741095">
            <w:pPr>
              <w:tabs>
                <w:tab w:val="left" w:pos="5490"/>
              </w:tabs>
              <w:rPr>
                <w:rFonts w:ascii="Arial" w:hAnsi="Arial" w:cs="Arial"/>
                <w:sz w:val="20"/>
                <w:szCs w:val="20"/>
                <w:lang w:val="fr-CA" w:eastAsia="en-CA"/>
              </w:rPr>
            </w:pPr>
            <w:r w:rsidRPr="008B3477">
              <w:rPr>
                <w:rFonts w:ascii="Arial" w:hAnsi="Arial" w:cs="Arial"/>
                <w:sz w:val="20"/>
                <w:szCs w:val="20"/>
                <w:lang w:val="fr-CA" w:eastAsia="en-CA"/>
              </w:rPr>
              <w:t>L’ESFPA a toujours demandé comment une ZPM protégerait les pêcheries locales et contre quoi. [Réponse de Pêches et Océans Canada : L’objectif 3 vise à indiquer clairement à tous que la protection de la pêche est une priorité pour la ZPM. Ces objectifs de haut niveau aident à guider la conception et la gestion d’une future ZPM. Une ZPM protégerait les pêches locales en leur permettant de poursuivre leurs activités dans la ZPM et en interdisant les activités qui pourraient endommager ou détruire les lieux de pêche. Pour ce faire, il faudrait élaborer des règlements sur les ZPM en vertu de la Loi sur les océans.</w:t>
            </w:r>
          </w:p>
          <w:p w:rsidR="00741095" w:rsidRPr="008B3477" w:rsidRDefault="00741095" w:rsidP="00741095">
            <w:pPr>
              <w:tabs>
                <w:tab w:val="left" w:pos="5490"/>
              </w:tabs>
              <w:rPr>
                <w:rFonts w:ascii="Arial" w:hAnsi="Arial" w:cs="Arial"/>
                <w:sz w:val="20"/>
                <w:szCs w:val="20"/>
                <w:lang w:val="fr-CA" w:eastAsia="en-CA"/>
              </w:rPr>
            </w:pPr>
          </w:p>
          <w:p w:rsidR="00741095" w:rsidRPr="008B3477" w:rsidRDefault="008B3477" w:rsidP="00741095">
            <w:pPr>
              <w:tabs>
                <w:tab w:val="left" w:pos="5490"/>
              </w:tabs>
              <w:rPr>
                <w:rFonts w:ascii="Arial" w:hAnsi="Arial" w:cs="Arial"/>
                <w:sz w:val="20"/>
                <w:szCs w:val="20"/>
                <w:lang w:val="fr-CA" w:eastAsia="en-CA"/>
              </w:rPr>
            </w:pPr>
            <w:r w:rsidRPr="008B3477">
              <w:rPr>
                <w:rFonts w:ascii="Arial" w:hAnsi="Arial" w:cs="Arial"/>
                <w:sz w:val="20"/>
                <w:szCs w:val="20"/>
                <w:lang w:val="fr-CA" w:eastAsia="en-CA"/>
              </w:rPr>
              <w:t>Pour répondre à la question de savoir contre quoi une ZPM protégerait la pêche, Pêches et Océans Canada a déclaré qu’une ZPM protégerait les pêches traditionnelles des activités industrielles futures qui pourraient endommager ou détruire l’habitat du homard et des autres espèces commerciales. La création d’une ZPM assurerait la protection des pêches et des lieux de pêche traditionnels pour les générations futures. Pêches et Océans Canada est en train de réaliser une évaluation des risques pour toutes les activités existantes et potentielles dans la région. Les activités qui présentent un risque élevé pour l’écosystème ne seront pas autorisées dans la ZPM. L’évaluation des risques pour la pêche du homard sera effectuée sous peu et Pêches et Océans Canada s’attend à confirmer que cette pêche est une activité à faible incidence qui pourrait se poursuivre dans une future ZPM.</w:t>
            </w:r>
          </w:p>
          <w:p w:rsidR="00741095" w:rsidRPr="008B3477" w:rsidRDefault="00741095" w:rsidP="00741095">
            <w:pPr>
              <w:tabs>
                <w:tab w:val="left" w:pos="5490"/>
              </w:tabs>
              <w:rPr>
                <w:rFonts w:ascii="Arial" w:hAnsi="Arial" w:cs="Arial"/>
                <w:sz w:val="20"/>
                <w:szCs w:val="20"/>
                <w:lang w:val="fr-CA" w:eastAsia="en-CA"/>
              </w:rPr>
            </w:pPr>
          </w:p>
          <w:p w:rsidR="00741095" w:rsidRDefault="00741095" w:rsidP="00741095">
            <w:pPr>
              <w:tabs>
                <w:tab w:val="left" w:pos="5490"/>
              </w:tabs>
              <w:rPr>
                <w:rFonts w:ascii="Arial" w:hAnsi="Arial" w:cs="Arial"/>
                <w:sz w:val="20"/>
                <w:szCs w:val="20"/>
                <w:lang w:eastAsia="en-CA"/>
              </w:rPr>
            </w:pPr>
            <w:r w:rsidRPr="00A819A1">
              <w:rPr>
                <w:rFonts w:ascii="Arial" w:hAnsi="Arial" w:cs="Arial"/>
                <w:sz w:val="20"/>
                <w:szCs w:val="20"/>
                <w:u w:val="single"/>
                <w:lang w:eastAsia="en-CA"/>
              </w:rPr>
              <w:t>Discussion</w:t>
            </w:r>
            <w:r>
              <w:rPr>
                <w:rFonts w:ascii="Arial" w:hAnsi="Arial" w:cs="Arial"/>
                <w:sz w:val="20"/>
                <w:szCs w:val="20"/>
                <w:lang w:eastAsia="en-CA"/>
              </w:rPr>
              <w:t>:</w:t>
            </w:r>
          </w:p>
          <w:p w:rsidR="00741095" w:rsidRPr="008B3477" w:rsidRDefault="008B3477" w:rsidP="008B3477">
            <w:pPr>
              <w:pStyle w:val="ListParagraph"/>
              <w:numPr>
                <w:ilvl w:val="0"/>
                <w:numId w:val="18"/>
              </w:numPr>
              <w:rPr>
                <w:rFonts w:ascii="Arial" w:hAnsi="Arial" w:cs="Arial"/>
                <w:sz w:val="20"/>
                <w:szCs w:val="20"/>
                <w:lang w:val="fr-CA" w:eastAsia="en-CA"/>
              </w:rPr>
            </w:pPr>
            <w:r w:rsidRPr="008B3477">
              <w:rPr>
                <w:rFonts w:ascii="Arial" w:hAnsi="Arial" w:cs="Arial"/>
                <w:sz w:val="20"/>
                <w:szCs w:val="20"/>
                <w:lang w:val="fr-CA" w:eastAsia="en-CA"/>
              </w:rPr>
              <w:t>Il est demandé si le pétrole et le gaz seraient autorisés dans une ZPM des îles de la côte Est. Un membre de l’ESFPA donne comme exemple le site d’intérêt du chenal Laurentien en tant que ZPM proposée qui permettra l’exploitation du pétrole et du gaz. [Réponse de Pêches et Océans Canada : Le processus d’évaluation des risques du banc de Sainte-Anne a déterminé que les activités pétrolières et gazières sont incompatibles avec les objectifs de la ZPM et ne sont pas autorisées dans la ZPM du banc Saint Anne. De plus, le récent Comité des normes des ZPM recommande l’interdiction des activités industrielles comme l’exploration et l’exploitation pétrolières et gazières dans toutes les ZPM fédérales. De même, nous ne nous attendons pas à ce que les activités industrielles soient compatibles avec les objectifs de conservation d’une future ZPM des îles de la côte Est. Le processus de la zone d’intérêt du chenal Laurentien n’est pas terminé et il y a eu une forte opposition de la part de l’industrie de la pêche et des groupes environnementaux à l’égard des quotas de pétrole et de gaz proposés, de sorte que des changements pourraient encore être apportés aux activités admissibles pour ce site.]</w:t>
            </w:r>
          </w:p>
        </w:tc>
      </w:tr>
      <w:tr w:rsidR="00741095" w:rsidRPr="007F4D06" w:rsidTr="001C655A">
        <w:trPr>
          <w:trHeight w:val="428"/>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tcPr>
          <w:p w:rsidR="00741095" w:rsidRPr="008B3477" w:rsidRDefault="00741095" w:rsidP="00741095">
            <w:pPr>
              <w:tabs>
                <w:tab w:val="left" w:pos="5490"/>
              </w:tabs>
              <w:spacing w:before="40" w:after="40"/>
              <w:jc w:val="center"/>
              <w:rPr>
                <w:rFonts w:ascii="Arial" w:hAnsi="Arial" w:cs="Arial"/>
                <w:sz w:val="20"/>
                <w:szCs w:val="20"/>
                <w:lang w:val="fr-CA" w:eastAsia="en-CA"/>
              </w:rPr>
            </w:pPr>
          </w:p>
        </w:tc>
        <w:tc>
          <w:tcPr>
            <w:tcW w:w="9571" w:type="dxa"/>
            <w:tcBorders>
              <w:top w:val="single" w:sz="4" w:space="0" w:color="auto"/>
              <w:left w:val="single" w:sz="4" w:space="0" w:color="auto"/>
              <w:bottom w:val="single" w:sz="4" w:space="0" w:color="auto"/>
              <w:right w:val="single" w:sz="4" w:space="0" w:color="auto"/>
            </w:tcBorders>
            <w:shd w:val="clear" w:color="auto" w:fill="auto"/>
            <w:vAlign w:val="center"/>
          </w:tcPr>
          <w:p w:rsidR="00741095" w:rsidRPr="008B3477" w:rsidRDefault="008B3477" w:rsidP="00432781">
            <w:pPr>
              <w:tabs>
                <w:tab w:val="left" w:pos="5490"/>
              </w:tabs>
              <w:rPr>
                <w:rFonts w:ascii="Arial" w:hAnsi="Arial" w:cs="Arial"/>
                <w:sz w:val="20"/>
                <w:szCs w:val="20"/>
                <w:lang w:val="fr-CA" w:eastAsia="en-CA"/>
              </w:rPr>
            </w:pPr>
            <w:r w:rsidRPr="008B3477">
              <w:rPr>
                <w:rFonts w:ascii="Arial" w:hAnsi="Arial" w:cs="Arial"/>
                <w:b/>
                <w:sz w:val="20"/>
                <w:szCs w:val="20"/>
                <w:lang w:val="fr-CA" w:eastAsia="en-CA"/>
              </w:rPr>
              <w:t>Discussion sur la zone de haute protection (« non-prélèvement »)</w:t>
            </w:r>
          </w:p>
        </w:tc>
      </w:tr>
      <w:tr w:rsidR="00741095" w:rsidRPr="007F4D06" w:rsidTr="001C655A">
        <w:trPr>
          <w:trHeight w:val="475"/>
          <w:jc w:val="center"/>
        </w:trPr>
        <w:tc>
          <w:tcPr>
            <w:tcW w:w="692" w:type="dxa"/>
            <w:vMerge/>
            <w:tcBorders>
              <w:top w:val="single" w:sz="4" w:space="0" w:color="auto"/>
              <w:left w:val="single" w:sz="4" w:space="0" w:color="auto"/>
              <w:bottom w:val="single" w:sz="4" w:space="0" w:color="auto"/>
              <w:right w:val="single" w:sz="4" w:space="0" w:color="auto"/>
            </w:tcBorders>
            <w:vAlign w:val="center"/>
          </w:tcPr>
          <w:p w:rsidR="00741095" w:rsidRPr="008B3477" w:rsidRDefault="00741095" w:rsidP="00741095">
            <w:pPr>
              <w:tabs>
                <w:tab w:val="left" w:pos="5490"/>
              </w:tabs>
              <w:spacing w:before="40" w:after="40"/>
              <w:jc w:val="center"/>
              <w:rPr>
                <w:rFonts w:ascii="Arial" w:hAnsi="Arial" w:cs="Arial"/>
                <w:sz w:val="20"/>
                <w:szCs w:val="20"/>
                <w:lang w:val="fr-CA" w:eastAsia="en-CA"/>
              </w:rPr>
            </w:pPr>
          </w:p>
        </w:tc>
        <w:tc>
          <w:tcPr>
            <w:tcW w:w="9571" w:type="dxa"/>
            <w:tcBorders>
              <w:top w:val="single" w:sz="4" w:space="0" w:color="auto"/>
              <w:left w:val="single" w:sz="4" w:space="0" w:color="auto"/>
              <w:bottom w:val="single" w:sz="4" w:space="0" w:color="auto"/>
              <w:right w:val="single" w:sz="4" w:space="0" w:color="auto"/>
            </w:tcBorders>
            <w:shd w:val="clear" w:color="auto" w:fill="auto"/>
            <w:vAlign w:val="center"/>
          </w:tcPr>
          <w:p w:rsidR="00741095" w:rsidRPr="008B3477" w:rsidRDefault="008B3477" w:rsidP="00741095">
            <w:pPr>
              <w:rPr>
                <w:rFonts w:ascii="Arial" w:hAnsi="Arial" w:cs="Arial"/>
                <w:sz w:val="20"/>
                <w:szCs w:val="20"/>
                <w:lang w:val="fr-CA" w:eastAsia="en-CA"/>
              </w:rPr>
            </w:pPr>
            <w:r w:rsidRPr="008B3477">
              <w:rPr>
                <w:rFonts w:ascii="Arial" w:hAnsi="Arial" w:cs="Arial"/>
                <w:sz w:val="20"/>
                <w:szCs w:val="20"/>
                <w:lang w:val="fr-CA" w:eastAsia="en-CA"/>
              </w:rPr>
              <w:t>La question d’une zone de haute protection potentielle dans une future ZPM des îles de la côte Est a été un élément clé du processus jusqu’à présent. L’ESFPA a toujours déclaré qu’elle ne soutiendra pas une ZPM avec une zone de haute protection. Pêches et Océans Canada donne une brève présentation pour communiquer la vision d’une zone de haute protection potentielle dans une future ZPM. Pêches et Océans Canada demande si plusieurs petites zones dans les parties plus profondes de la ZPM (totalisant environ 5 à 10 % du site) seraient réalisables et fournit un schéma conceptuel de ce à quoi pourrait ressembler cette idée.</w:t>
            </w:r>
          </w:p>
          <w:p w:rsidR="00741095" w:rsidRPr="008B3477" w:rsidRDefault="00741095" w:rsidP="00741095">
            <w:pPr>
              <w:rPr>
                <w:rFonts w:ascii="Arial" w:hAnsi="Arial" w:cs="Arial"/>
                <w:sz w:val="20"/>
                <w:szCs w:val="20"/>
                <w:lang w:val="fr-CA" w:eastAsia="en-CA"/>
              </w:rPr>
            </w:pPr>
          </w:p>
          <w:p w:rsidR="00741095" w:rsidRPr="008C1CAE" w:rsidRDefault="00741095" w:rsidP="00741095">
            <w:pPr>
              <w:rPr>
                <w:rFonts w:ascii="Arial" w:hAnsi="Arial" w:cs="Arial"/>
                <w:sz w:val="20"/>
                <w:szCs w:val="20"/>
                <w:lang w:eastAsia="en-CA"/>
              </w:rPr>
            </w:pPr>
            <w:r w:rsidRPr="00A819A1">
              <w:rPr>
                <w:rFonts w:ascii="Arial" w:hAnsi="Arial" w:cs="Arial"/>
                <w:sz w:val="20"/>
                <w:szCs w:val="20"/>
                <w:u w:val="single"/>
                <w:lang w:eastAsia="en-CA"/>
              </w:rPr>
              <w:t>Discussion</w:t>
            </w:r>
            <w:r>
              <w:rPr>
                <w:rFonts w:ascii="Arial" w:hAnsi="Arial" w:cs="Arial"/>
                <w:sz w:val="20"/>
                <w:szCs w:val="20"/>
                <w:lang w:eastAsia="en-CA"/>
              </w:rPr>
              <w:t>:</w:t>
            </w:r>
          </w:p>
          <w:p w:rsidR="00741095" w:rsidRPr="008B3477" w:rsidRDefault="008B3477" w:rsidP="008B3477">
            <w:pPr>
              <w:pStyle w:val="ListParagraph"/>
              <w:numPr>
                <w:ilvl w:val="0"/>
                <w:numId w:val="18"/>
              </w:numPr>
              <w:rPr>
                <w:rFonts w:ascii="Arial" w:hAnsi="Arial" w:cs="Arial"/>
                <w:sz w:val="20"/>
                <w:szCs w:val="20"/>
                <w:lang w:val="fr-CA" w:eastAsia="en-CA"/>
              </w:rPr>
            </w:pPr>
            <w:r w:rsidRPr="008B3477">
              <w:rPr>
                <w:rFonts w:ascii="Arial" w:hAnsi="Arial" w:cs="Arial"/>
                <w:sz w:val="20"/>
                <w:szCs w:val="20"/>
                <w:lang w:val="fr-CA" w:eastAsia="en-CA"/>
              </w:rPr>
              <w:t xml:space="preserve">Un membre de l’ESFPA fait remarquer que le poisson pourrait à l’avenir se déplacer vers des zones de haute protection, ce qui aurait un effet sur les pêcheurs. Un autre membre fait remarquer que l’association ne fait pas confiance au gouvernement. Si nous sommes d’accord </w:t>
            </w:r>
            <w:r w:rsidRPr="008B3477">
              <w:rPr>
                <w:rFonts w:ascii="Arial" w:hAnsi="Arial" w:cs="Arial"/>
                <w:sz w:val="20"/>
                <w:szCs w:val="20"/>
                <w:lang w:val="fr-CA" w:eastAsia="en-CA"/>
              </w:rPr>
              <w:lastRenderedPageBreak/>
              <w:t xml:space="preserve">sur quelque chose, cela changera (c.-à-d. qu’« il entre comme un cheval et sort comme un éléphant »). Un autre point est que les zones à haute protection déplacent l’effort et obligent les pêcheurs à aller plus loin et à faire plus de voyages pour obtenir leurs prises. Des préoccupations sont également exprimées au sujet des universitaires qui ont déterminé les zones à établir comme zones de haute protection après la désignation de la ZPM (c.-à-d. la fermeture de parties de la ZPM à titre de zones de référence scientifique). Dans l’ensemble, il n’y a aucun appui en faveur d’une zone de haute protection dans une future ZPM pour les îles de la côte Est. [Réponse de Pêches et Océans Canada : Les zones de haute protection ne sont pas requises dans les ZPM visées par la Loi sur les océans. Elles sont facultatives. L’estuaire de la </w:t>
            </w:r>
            <w:proofErr w:type="spellStart"/>
            <w:r w:rsidRPr="008B3477">
              <w:rPr>
                <w:rFonts w:ascii="Arial" w:hAnsi="Arial" w:cs="Arial"/>
                <w:sz w:val="20"/>
                <w:szCs w:val="20"/>
                <w:lang w:val="fr-CA" w:eastAsia="en-CA"/>
              </w:rPr>
              <w:t>Musquash</w:t>
            </w:r>
            <w:proofErr w:type="spellEnd"/>
            <w:r w:rsidRPr="008B3477">
              <w:rPr>
                <w:rFonts w:ascii="Arial" w:hAnsi="Arial" w:cs="Arial"/>
                <w:sz w:val="20"/>
                <w:szCs w:val="20"/>
                <w:lang w:val="fr-CA" w:eastAsia="en-CA"/>
              </w:rPr>
              <w:t xml:space="preserve"> est un exemple de ZPM où il n’y a pas de zone d’extraction commerciale. Pêches et Océans Canada déclare qu’une ZPM dans les îles de la côte Est n’a pas besoin d’une zone de haute protection.]</w:t>
            </w:r>
          </w:p>
        </w:tc>
      </w:tr>
      <w:tr w:rsidR="00741095" w:rsidRPr="00A86C47" w:rsidTr="00BD2ABF">
        <w:trPr>
          <w:trHeight w:val="428"/>
          <w:jc w:val="center"/>
        </w:trPr>
        <w:tc>
          <w:tcPr>
            <w:tcW w:w="692" w:type="dxa"/>
            <w:tcBorders>
              <w:top w:val="single" w:sz="4" w:space="0" w:color="auto"/>
              <w:left w:val="single" w:sz="4" w:space="0" w:color="auto"/>
              <w:bottom w:val="single" w:sz="4" w:space="0" w:color="auto"/>
              <w:right w:val="single" w:sz="4" w:space="0" w:color="auto"/>
            </w:tcBorders>
            <w:vAlign w:val="center"/>
          </w:tcPr>
          <w:p w:rsidR="00741095" w:rsidRPr="008B3477" w:rsidRDefault="00741095" w:rsidP="00741095">
            <w:pPr>
              <w:tabs>
                <w:tab w:val="left" w:pos="5490"/>
              </w:tabs>
              <w:spacing w:before="40" w:after="40"/>
              <w:jc w:val="center"/>
              <w:rPr>
                <w:rFonts w:ascii="Arial" w:hAnsi="Arial" w:cs="Arial"/>
                <w:sz w:val="20"/>
                <w:szCs w:val="20"/>
                <w:lang w:val="fr-CA" w:eastAsia="en-CA"/>
              </w:rPr>
            </w:pPr>
          </w:p>
        </w:tc>
        <w:tc>
          <w:tcPr>
            <w:tcW w:w="9571" w:type="dxa"/>
            <w:tcBorders>
              <w:top w:val="single" w:sz="4" w:space="0" w:color="auto"/>
              <w:left w:val="single" w:sz="4" w:space="0" w:color="auto"/>
              <w:bottom w:val="single" w:sz="4" w:space="0" w:color="auto"/>
              <w:right w:val="single" w:sz="4" w:space="0" w:color="auto"/>
            </w:tcBorders>
            <w:shd w:val="clear" w:color="auto" w:fill="auto"/>
            <w:vAlign w:val="center"/>
          </w:tcPr>
          <w:p w:rsidR="00741095" w:rsidRDefault="008B3477" w:rsidP="00741095">
            <w:pPr>
              <w:tabs>
                <w:tab w:val="left" w:pos="5490"/>
              </w:tabs>
              <w:rPr>
                <w:rFonts w:ascii="Arial" w:hAnsi="Arial" w:cs="Arial"/>
                <w:b/>
                <w:sz w:val="20"/>
                <w:szCs w:val="20"/>
                <w:lang w:eastAsia="en-CA"/>
              </w:rPr>
            </w:pPr>
            <w:proofErr w:type="spellStart"/>
            <w:r w:rsidRPr="008B3477">
              <w:rPr>
                <w:rFonts w:ascii="Arial" w:hAnsi="Arial" w:cs="Arial"/>
                <w:b/>
                <w:sz w:val="20"/>
                <w:szCs w:val="20"/>
                <w:lang w:eastAsia="en-CA"/>
              </w:rPr>
              <w:t>Garantie</w:t>
            </w:r>
            <w:proofErr w:type="spellEnd"/>
            <w:r w:rsidRPr="008B3477">
              <w:rPr>
                <w:rFonts w:ascii="Arial" w:hAnsi="Arial" w:cs="Arial"/>
                <w:b/>
                <w:sz w:val="20"/>
                <w:szCs w:val="20"/>
                <w:lang w:eastAsia="en-CA"/>
              </w:rPr>
              <w:t xml:space="preserve"> </w:t>
            </w:r>
            <w:proofErr w:type="spellStart"/>
            <w:r w:rsidRPr="008B3477">
              <w:rPr>
                <w:rFonts w:ascii="Arial" w:hAnsi="Arial" w:cs="Arial"/>
                <w:b/>
                <w:sz w:val="20"/>
                <w:szCs w:val="20"/>
                <w:lang w:eastAsia="en-CA"/>
              </w:rPr>
              <w:t>écrite</w:t>
            </w:r>
            <w:proofErr w:type="spellEnd"/>
          </w:p>
        </w:tc>
      </w:tr>
      <w:tr w:rsidR="00741095" w:rsidRPr="007F4D06" w:rsidTr="00BD2ABF">
        <w:trPr>
          <w:trHeight w:val="428"/>
          <w:jc w:val="center"/>
        </w:trPr>
        <w:tc>
          <w:tcPr>
            <w:tcW w:w="692" w:type="dxa"/>
            <w:tcBorders>
              <w:top w:val="single" w:sz="4" w:space="0" w:color="auto"/>
              <w:left w:val="single" w:sz="4" w:space="0" w:color="auto"/>
              <w:bottom w:val="single" w:sz="4" w:space="0" w:color="auto"/>
              <w:right w:val="single" w:sz="4" w:space="0" w:color="auto"/>
            </w:tcBorders>
            <w:vAlign w:val="center"/>
          </w:tcPr>
          <w:p w:rsidR="00741095" w:rsidRPr="00A86C47" w:rsidRDefault="00741095" w:rsidP="00741095">
            <w:pPr>
              <w:tabs>
                <w:tab w:val="left" w:pos="5490"/>
              </w:tabs>
              <w:spacing w:before="40" w:after="40"/>
              <w:jc w:val="center"/>
              <w:rPr>
                <w:rFonts w:ascii="Arial" w:hAnsi="Arial" w:cs="Arial"/>
                <w:sz w:val="20"/>
                <w:szCs w:val="20"/>
                <w:lang w:eastAsia="en-CA"/>
              </w:rPr>
            </w:pPr>
          </w:p>
        </w:tc>
        <w:tc>
          <w:tcPr>
            <w:tcW w:w="9571" w:type="dxa"/>
            <w:tcBorders>
              <w:top w:val="single" w:sz="4" w:space="0" w:color="auto"/>
              <w:left w:val="single" w:sz="4" w:space="0" w:color="auto"/>
              <w:bottom w:val="single" w:sz="4" w:space="0" w:color="auto"/>
              <w:right w:val="single" w:sz="4" w:space="0" w:color="auto"/>
            </w:tcBorders>
            <w:shd w:val="clear" w:color="auto" w:fill="auto"/>
            <w:vAlign w:val="center"/>
          </w:tcPr>
          <w:p w:rsidR="00741095" w:rsidRPr="008B3477" w:rsidRDefault="008B3477" w:rsidP="00892E9F">
            <w:pPr>
              <w:rPr>
                <w:rFonts w:ascii="Arial" w:hAnsi="Arial" w:cs="Arial"/>
                <w:sz w:val="20"/>
                <w:szCs w:val="20"/>
                <w:lang w:val="fr-CA" w:eastAsia="en-CA"/>
              </w:rPr>
            </w:pPr>
            <w:r w:rsidRPr="008B3477">
              <w:rPr>
                <w:rFonts w:ascii="Arial" w:hAnsi="Arial" w:cs="Arial"/>
                <w:sz w:val="20"/>
                <w:szCs w:val="20"/>
                <w:lang w:val="fr-CA" w:eastAsia="en-CA"/>
              </w:rPr>
              <w:t>L’ESFPA demande au ministre de s’engager par écrit à ce que les pêches ne soient pas affectées négativement par la ZPM, à ce qu’il n’y ait pas de zone de haute protection et à ce que les pêches soient protégées des activités industrielles dans la ZPM pour les générations futures. La nécessité de ces garanties est réaffirmée lors de cette réunion. [Réponse de Pêches et Océans Canada : Le Ministère s’efforcera de fournir les garanties demandées par l’ESFPA. Il est à noter qu’un règlement fédéral en vertu de la Loi sur les océans est la garantie la plus solide qui puisse être offerte au Canada.]</w:t>
            </w:r>
          </w:p>
        </w:tc>
      </w:tr>
      <w:tr w:rsidR="00741095" w:rsidRPr="007F4D06" w:rsidTr="003F33D9">
        <w:trPr>
          <w:trHeight w:val="475"/>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tcPr>
          <w:p w:rsidR="00741095" w:rsidRPr="008B3477" w:rsidRDefault="00741095" w:rsidP="00741095">
            <w:pPr>
              <w:tabs>
                <w:tab w:val="left" w:pos="5490"/>
              </w:tabs>
              <w:spacing w:before="40" w:after="40"/>
              <w:jc w:val="center"/>
              <w:rPr>
                <w:rFonts w:ascii="Arial" w:hAnsi="Arial" w:cs="Arial"/>
                <w:sz w:val="20"/>
                <w:szCs w:val="20"/>
                <w:lang w:val="fr-CA" w:eastAsia="en-CA"/>
              </w:rPr>
            </w:pPr>
          </w:p>
        </w:tc>
        <w:tc>
          <w:tcPr>
            <w:tcW w:w="9571" w:type="dxa"/>
            <w:tcBorders>
              <w:top w:val="single" w:sz="4" w:space="0" w:color="auto"/>
              <w:left w:val="single" w:sz="4" w:space="0" w:color="auto"/>
              <w:bottom w:val="single" w:sz="4" w:space="0" w:color="auto"/>
              <w:right w:val="single" w:sz="4" w:space="0" w:color="auto"/>
            </w:tcBorders>
            <w:shd w:val="clear" w:color="auto" w:fill="auto"/>
            <w:vAlign w:val="center"/>
          </w:tcPr>
          <w:p w:rsidR="00741095" w:rsidRPr="008B3477" w:rsidRDefault="008B3477" w:rsidP="00741095">
            <w:pPr>
              <w:tabs>
                <w:tab w:val="left" w:pos="5490"/>
              </w:tabs>
              <w:rPr>
                <w:rFonts w:ascii="Arial" w:hAnsi="Arial" w:cs="Arial"/>
                <w:sz w:val="20"/>
                <w:szCs w:val="20"/>
                <w:lang w:val="fr-CA" w:eastAsia="en-CA"/>
              </w:rPr>
            </w:pPr>
            <w:r w:rsidRPr="008B3477">
              <w:rPr>
                <w:rFonts w:ascii="Arial" w:hAnsi="Arial" w:cs="Arial"/>
                <w:b/>
                <w:sz w:val="20"/>
                <w:szCs w:val="20"/>
                <w:lang w:val="fr-CA" w:eastAsia="en-CA"/>
              </w:rPr>
              <w:t>Mise à jour sur l’évaluation des risques</w:t>
            </w:r>
          </w:p>
        </w:tc>
      </w:tr>
      <w:tr w:rsidR="00741095" w:rsidRPr="007F4D06" w:rsidTr="00B6461B">
        <w:trPr>
          <w:trHeight w:val="475"/>
          <w:jc w:val="center"/>
        </w:trPr>
        <w:tc>
          <w:tcPr>
            <w:tcW w:w="692" w:type="dxa"/>
            <w:vMerge/>
            <w:tcBorders>
              <w:top w:val="single" w:sz="4" w:space="0" w:color="auto"/>
              <w:left w:val="single" w:sz="4" w:space="0" w:color="auto"/>
              <w:bottom w:val="single" w:sz="4" w:space="0" w:color="auto"/>
              <w:right w:val="single" w:sz="4" w:space="0" w:color="auto"/>
            </w:tcBorders>
            <w:vAlign w:val="center"/>
          </w:tcPr>
          <w:p w:rsidR="00741095" w:rsidRPr="008B3477" w:rsidRDefault="00741095" w:rsidP="00741095">
            <w:pPr>
              <w:tabs>
                <w:tab w:val="left" w:pos="5490"/>
              </w:tabs>
              <w:spacing w:before="40" w:after="40"/>
              <w:jc w:val="center"/>
              <w:rPr>
                <w:rFonts w:ascii="Arial" w:hAnsi="Arial" w:cs="Arial"/>
                <w:sz w:val="20"/>
                <w:szCs w:val="20"/>
                <w:lang w:val="fr-CA" w:eastAsia="en-CA"/>
              </w:rPr>
            </w:pPr>
          </w:p>
        </w:tc>
        <w:tc>
          <w:tcPr>
            <w:tcW w:w="9571" w:type="dxa"/>
            <w:tcBorders>
              <w:top w:val="single" w:sz="4" w:space="0" w:color="auto"/>
              <w:left w:val="single" w:sz="4" w:space="0" w:color="auto"/>
              <w:bottom w:val="single" w:sz="4" w:space="0" w:color="auto"/>
              <w:right w:val="single" w:sz="4" w:space="0" w:color="auto"/>
            </w:tcBorders>
            <w:shd w:val="clear" w:color="auto" w:fill="auto"/>
            <w:vAlign w:val="center"/>
          </w:tcPr>
          <w:p w:rsidR="00741095" w:rsidRPr="008B3477" w:rsidRDefault="008B3477" w:rsidP="00C048EA">
            <w:pPr>
              <w:tabs>
                <w:tab w:val="left" w:pos="5490"/>
              </w:tabs>
              <w:rPr>
                <w:rFonts w:ascii="Arial" w:hAnsi="Arial" w:cs="Arial"/>
                <w:sz w:val="20"/>
                <w:szCs w:val="20"/>
                <w:lang w:val="fr-CA" w:eastAsia="en-CA"/>
              </w:rPr>
            </w:pPr>
            <w:r w:rsidRPr="008B3477">
              <w:rPr>
                <w:rFonts w:ascii="Arial" w:hAnsi="Arial" w:cs="Arial"/>
                <w:sz w:val="20"/>
                <w:szCs w:val="20"/>
                <w:lang w:val="fr-CA" w:eastAsia="en-CA"/>
              </w:rPr>
              <w:t>Pêches et Océans Canada fait remarquer que les membres du personnel travaillent d’arrache-pied à l’évaluation des risques dans le but de clarifier les activités qui seraient permises dans une future ZPM des îles de la côte Est. L’évaluation des risques pour la pêche du homard sera réalisée sous peu. Un membre de l’ESFPA demande quand toutes les évaluations des risques vont se terminer. [Réponse de Pêches et Océans Canada : Le Ministère vise la réalisation d’une ébauche de toutes les évaluations en janvier 2019.]</w:t>
            </w:r>
          </w:p>
        </w:tc>
      </w:tr>
    </w:tbl>
    <w:p w:rsidR="00517560" w:rsidRPr="008B3477" w:rsidRDefault="00517560" w:rsidP="00517560">
      <w:pPr>
        <w:tabs>
          <w:tab w:val="left" w:pos="5490"/>
        </w:tabs>
        <w:jc w:val="center"/>
        <w:rPr>
          <w:rFonts w:ascii="Arial" w:hAnsi="Arial" w:cs="Arial"/>
          <w:b/>
          <w:lang w:val="fr-CA"/>
        </w:rPr>
      </w:pPr>
    </w:p>
    <w:p w:rsidR="00231B64" w:rsidRPr="008B3477" w:rsidRDefault="00231B64" w:rsidP="00231B64">
      <w:pPr>
        <w:rPr>
          <w:lang w:val="fr-CA"/>
        </w:rPr>
      </w:pPr>
    </w:p>
    <w:p w:rsidR="00231B64" w:rsidRPr="008B3477" w:rsidRDefault="00231B64" w:rsidP="00231B64">
      <w:pPr>
        <w:rPr>
          <w:lang w:val="fr-CA"/>
        </w:rPr>
      </w:pPr>
    </w:p>
    <w:p w:rsidR="00231B64" w:rsidRPr="008B3477" w:rsidRDefault="00231B64" w:rsidP="00231B64">
      <w:pPr>
        <w:rPr>
          <w:lang w:val="fr-CA"/>
        </w:rPr>
      </w:pPr>
    </w:p>
    <w:p w:rsidR="00B70BD0" w:rsidRPr="008B3477" w:rsidRDefault="00B70BD0" w:rsidP="00231B64">
      <w:pPr>
        <w:rPr>
          <w:lang w:val="fr-CA"/>
        </w:rPr>
      </w:pPr>
    </w:p>
    <w:sectPr w:rsidR="00B70BD0" w:rsidRPr="008B3477" w:rsidSect="008D2D67">
      <w:headerReference w:type="default" r:id="rId9"/>
      <w:footerReference w:type="default" r:id="rId10"/>
      <w:pgSz w:w="12240" w:h="15840"/>
      <w:pgMar w:top="1440" w:right="1800" w:bottom="1440" w:left="180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43A" w:rsidRDefault="000B343A">
      <w:r>
        <w:separator/>
      </w:r>
    </w:p>
  </w:endnote>
  <w:endnote w:type="continuationSeparator" w:id="0">
    <w:p w:rsidR="000B343A" w:rsidRDefault="000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F" w:rsidRPr="008B3477" w:rsidRDefault="008B3477" w:rsidP="0013294A">
    <w:pPr>
      <w:pStyle w:val="Footer"/>
      <w:tabs>
        <w:tab w:val="clear" w:pos="8640"/>
        <w:tab w:val="right" w:pos="9900"/>
      </w:tabs>
      <w:ind w:left="-1260" w:right="-1260"/>
      <w:rPr>
        <w:lang w:val="fr-CA"/>
      </w:rPr>
    </w:pPr>
    <w:r w:rsidRPr="008B3477">
      <w:rPr>
        <w:lang w:val="fr-CA"/>
      </w:rPr>
      <w:t>Groupe de travail</w:t>
    </w:r>
    <w:r>
      <w:rPr>
        <w:lang w:val="fr-CA"/>
      </w:rPr>
      <w:t xml:space="preserve"> de l’ESFPA</w:t>
    </w:r>
    <w:r w:rsidR="0022549F" w:rsidRPr="008B3477">
      <w:rPr>
        <w:lang w:val="fr-CA"/>
      </w:rPr>
      <w:tab/>
    </w:r>
    <w:r w:rsidR="0022549F" w:rsidRPr="008B3477">
      <w:rPr>
        <w:lang w:val="fr-CA"/>
      </w:rPr>
      <w:tab/>
    </w:r>
    <w:r w:rsidRPr="008B3477">
      <w:rPr>
        <w:lang w:val="fr-CA"/>
      </w:rPr>
      <w:t>MPO</w:t>
    </w:r>
    <w:r w:rsidR="0022549F" w:rsidRPr="008B3477">
      <w:rPr>
        <w:lang w:val="fr-CA"/>
      </w:rPr>
      <w:t xml:space="preserve"> – </w:t>
    </w:r>
    <w:r w:rsidRPr="008B3477">
      <w:rPr>
        <w:lang w:val="fr-CA"/>
      </w:rPr>
      <w:t>DGOC</w:t>
    </w:r>
    <w:r w:rsidR="0022549F" w:rsidRPr="008B3477">
      <w:rPr>
        <w:lang w:val="fr-CA"/>
      </w:rPr>
      <w:t xml:space="preserve">      </w:t>
    </w:r>
    <w:r w:rsidR="0022549F">
      <w:rPr>
        <w:noProof/>
        <w:lang w:val="en-CA" w:eastAsia="en-CA"/>
      </w:rPr>
      <w:drawing>
        <wp:inline distT="0" distB="0" distL="0" distR="0">
          <wp:extent cx="1257300" cy="295275"/>
          <wp:effectExtent l="0" t="0" r="0" b="9525"/>
          <wp:docPr id="1" name="Picture 1" descr="wordmk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k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295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43A" w:rsidRDefault="000B343A">
      <w:r>
        <w:separator/>
      </w:r>
    </w:p>
  </w:footnote>
  <w:footnote w:type="continuationSeparator" w:id="0">
    <w:p w:rsidR="000B343A" w:rsidRDefault="000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9F" w:rsidRDefault="0022549F">
    <w:pPr>
      <w:pStyle w:val="Header"/>
      <w:jc w:val="right"/>
    </w:pPr>
    <w:r>
      <w:rPr>
        <w:noProof/>
        <w:lang w:val="en-CA" w:eastAsia="en-CA"/>
      </w:rPr>
      <w:drawing>
        <wp:anchor distT="0" distB="0" distL="114300" distR="114300" simplePos="0" relativeHeight="251657728" behindDoc="1" locked="0" layoutInCell="1" allowOverlap="1">
          <wp:simplePos x="0" y="0"/>
          <wp:positionH relativeFrom="column">
            <wp:posOffset>-800100</wp:posOffset>
          </wp:positionH>
          <wp:positionV relativeFrom="paragraph">
            <wp:posOffset>-431800</wp:posOffset>
          </wp:positionV>
          <wp:extent cx="3459480" cy="701040"/>
          <wp:effectExtent l="0" t="0" r="7620" b="3810"/>
          <wp:wrapTight wrapText="bothSides">
            <wp:wrapPolygon edited="0">
              <wp:start x="0" y="0"/>
              <wp:lineTo x="0" y="21130"/>
              <wp:lineTo x="21529" y="21130"/>
              <wp:lineTo x="21529" y="0"/>
              <wp:lineTo x="0" y="0"/>
            </wp:wrapPolygon>
          </wp:wrapTight>
          <wp:docPr id="5" name="Picture 5" descr="e_header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_header_c"/>
                  <pic:cNvPicPr>
                    <a:picLocks noChangeAspect="1" noChangeArrowheads="1"/>
                  </pic:cNvPicPr>
                </pic:nvPicPr>
                <pic:blipFill>
                  <a:blip r:embed="rId1">
                    <a:extLst>
                      <a:ext uri="{28A0092B-C50C-407E-A947-70E740481C1C}">
                        <a14:useLocalDpi xmlns:a14="http://schemas.microsoft.com/office/drawing/2010/main" val="0"/>
                      </a:ext>
                    </a:extLst>
                  </a:blip>
                  <a:srcRect r="51183" b="52982"/>
                  <a:stretch>
                    <a:fillRect/>
                  </a:stretch>
                </pic:blipFill>
                <pic:spPr bwMode="auto">
                  <a:xfrm>
                    <a:off x="0" y="0"/>
                    <a:ext cx="3459480" cy="70104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7F4D06">
      <w:rPr>
        <w:noProof/>
      </w:rPr>
      <w:t>4</w:t>
    </w:r>
    <w:r>
      <w:rPr>
        <w:noProof/>
      </w:rPr>
      <w:fldChar w:fldCharType="end"/>
    </w:r>
  </w:p>
  <w:p w:rsidR="0022549F" w:rsidRDefault="0022549F" w:rsidP="00316084">
    <w:pPr>
      <w:pStyle w:val="Header"/>
      <w:tabs>
        <w:tab w:val="clear" w:pos="8640"/>
        <w:tab w:val="right" w:pos="9900"/>
      </w:tabs>
      <w:ind w:left="-12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7DA1"/>
    <w:multiLevelType w:val="hybridMultilevel"/>
    <w:tmpl w:val="A33A8F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176A58"/>
    <w:multiLevelType w:val="hybridMultilevel"/>
    <w:tmpl w:val="1C380A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2778B"/>
    <w:multiLevelType w:val="hybridMultilevel"/>
    <w:tmpl w:val="B126AAA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879F0"/>
    <w:multiLevelType w:val="hybridMultilevel"/>
    <w:tmpl w:val="5B7A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C08E2"/>
    <w:multiLevelType w:val="hybridMultilevel"/>
    <w:tmpl w:val="AD94876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8E5792B"/>
    <w:multiLevelType w:val="hybridMultilevel"/>
    <w:tmpl w:val="ED6A87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0F916E87"/>
    <w:multiLevelType w:val="hybridMultilevel"/>
    <w:tmpl w:val="6BE6DD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0781151"/>
    <w:multiLevelType w:val="hybridMultilevel"/>
    <w:tmpl w:val="2B441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561260"/>
    <w:multiLevelType w:val="hybridMultilevel"/>
    <w:tmpl w:val="27F0831C"/>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AB71774"/>
    <w:multiLevelType w:val="hybridMultilevel"/>
    <w:tmpl w:val="FF82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A6A72"/>
    <w:multiLevelType w:val="hybridMultilevel"/>
    <w:tmpl w:val="E0C0A8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1F4B72"/>
    <w:multiLevelType w:val="hybridMultilevel"/>
    <w:tmpl w:val="53C07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A180864"/>
    <w:multiLevelType w:val="hybridMultilevel"/>
    <w:tmpl w:val="06E04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E42DAA"/>
    <w:multiLevelType w:val="hybridMultilevel"/>
    <w:tmpl w:val="06DA4F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37C4BF1"/>
    <w:multiLevelType w:val="hybridMultilevel"/>
    <w:tmpl w:val="C95696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BBD2B27"/>
    <w:multiLevelType w:val="hybridMultilevel"/>
    <w:tmpl w:val="73C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D637E3"/>
    <w:multiLevelType w:val="hybridMultilevel"/>
    <w:tmpl w:val="9AE6E4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785757A"/>
    <w:multiLevelType w:val="hybridMultilevel"/>
    <w:tmpl w:val="34BC7DAE"/>
    <w:lvl w:ilvl="0" w:tplc="0D524624">
      <w:start w:val="1"/>
      <w:numFmt w:val="decimal"/>
      <w:lvlText w:val="%1."/>
      <w:lvlJc w:val="left"/>
      <w:pPr>
        <w:tabs>
          <w:tab w:val="num" w:pos="720"/>
        </w:tabs>
        <w:ind w:left="720" w:hanging="360"/>
      </w:pPr>
    </w:lvl>
    <w:lvl w:ilvl="1" w:tplc="34EE050C" w:tentative="1">
      <w:start w:val="1"/>
      <w:numFmt w:val="decimal"/>
      <w:lvlText w:val="%2."/>
      <w:lvlJc w:val="left"/>
      <w:pPr>
        <w:tabs>
          <w:tab w:val="num" w:pos="1440"/>
        </w:tabs>
        <w:ind w:left="1440" w:hanging="360"/>
      </w:pPr>
    </w:lvl>
    <w:lvl w:ilvl="2" w:tplc="0A326AB0" w:tentative="1">
      <w:start w:val="1"/>
      <w:numFmt w:val="decimal"/>
      <w:lvlText w:val="%3."/>
      <w:lvlJc w:val="left"/>
      <w:pPr>
        <w:tabs>
          <w:tab w:val="num" w:pos="2160"/>
        </w:tabs>
        <w:ind w:left="2160" w:hanging="360"/>
      </w:pPr>
    </w:lvl>
    <w:lvl w:ilvl="3" w:tplc="4E24297A" w:tentative="1">
      <w:start w:val="1"/>
      <w:numFmt w:val="decimal"/>
      <w:lvlText w:val="%4."/>
      <w:lvlJc w:val="left"/>
      <w:pPr>
        <w:tabs>
          <w:tab w:val="num" w:pos="2880"/>
        </w:tabs>
        <w:ind w:left="2880" w:hanging="360"/>
      </w:pPr>
    </w:lvl>
    <w:lvl w:ilvl="4" w:tplc="9A9E083E" w:tentative="1">
      <w:start w:val="1"/>
      <w:numFmt w:val="decimal"/>
      <w:lvlText w:val="%5."/>
      <w:lvlJc w:val="left"/>
      <w:pPr>
        <w:tabs>
          <w:tab w:val="num" w:pos="3600"/>
        </w:tabs>
        <w:ind w:left="3600" w:hanging="360"/>
      </w:pPr>
    </w:lvl>
    <w:lvl w:ilvl="5" w:tplc="8F20657A" w:tentative="1">
      <w:start w:val="1"/>
      <w:numFmt w:val="decimal"/>
      <w:lvlText w:val="%6."/>
      <w:lvlJc w:val="left"/>
      <w:pPr>
        <w:tabs>
          <w:tab w:val="num" w:pos="4320"/>
        </w:tabs>
        <w:ind w:left="4320" w:hanging="360"/>
      </w:pPr>
    </w:lvl>
    <w:lvl w:ilvl="6" w:tplc="8F0C3A4C" w:tentative="1">
      <w:start w:val="1"/>
      <w:numFmt w:val="decimal"/>
      <w:lvlText w:val="%7."/>
      <w:lvlJc w:val="left"/>
      <w:pPr>
        <w:tabs>
          <w:tab w:val="num" w:pos="5040"/>
        </w:tabs>
        <w:ind w:left="5040" w:hanging="360"/>
      </w:pPr>
    </w:lvl>
    <w:lvl w:ilvl="7" w:tplc="D292E6EA" w:tentative="1">
      <w:start w:val="1"/>
      <w:numFmt w:val="decimal"/>
      <w:lvlText w:val="%8."/>
      <w:lvlJc w:val="left"/>
      <w:pPr>
        <w:tabs>
          <w:tab w:val="num" w:pos="5760"/>
        </w:tabs>
        <w:ind w:left="5760" w:hanging="360"/>
      </w:pPr>
    </w:lvl>
    <w:lvl w:ilvl="8" w:tplc="652A6490" w:tentative="1">
      <w:start w:val="1"/>
      <w:numFmt w:val="decimal"/>
      <w:lvlText w:val="%9."/>
      <w:lvlJc w:val="left"/>
      <w:pPr>
        <w:tabs>
          <w:tab w:val="num" w:pos="6480"/>
        </w:tabs>
        <w:ind w:left="6480" w:hanging="360"/>
      </w:pPr>
    </w:lvl>
  </w:abstractNum>
  <w:abstractNum w:abstractNumId="18" w15:restartNumberingAfterBreak="0">
    <w:nsid w:val="7F605A7C"/>
    <w:multiLevelType w:val="hybridMultilevel"/>
    <w:tmpl w:val="3A5EB7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4"/>
  </w:num>
  <w:num w:numId="4">
    <w:abstractNumId w:val="16"/>
  </w:num>
  <w:num w:numId="5">
    <w:abstractNumId w:val="7"/>
  </w:num>
  <w:num w:numId="6">
    <w:abstractNumId w:val="14"/>
  </w:num>
  <w:num w:numId="7">
    <w:abstractNumId w:val="0"/>
  </w:num>
  <w:num w:numId="8">
    <w:abstractNumId w:val="5"/>
  </w:num>
  <w:num w:numId="9">
    <w:abstractNumId w:val="18"/>
  </w:num>
  <w:num w:numId="10">
    <w:abstractNumId w:val="6"/>
  </w:num>
  <w:num w:numId="11">
    <w:abstractNumId w:val="13"/>
  </w:num>
  <w:num w:numId="12">
    <w:abstractNumId w:val="11"/>
  </w:num>
  <w:num w:numId="13">
    <w:abstractNumId w:val="2"/>
  </w:num>
  <w:num w:numId="14">
    <w:abstractNumId w:val="1"/>
  </w:num>
  <w:num w:numId="15">
    <w:abstractNumId w:val="10"/>
  </w:num>
  <w:num w:numId="16">
    <w:abstractNumId w:val="17"/>
  </w:num>
  <w:num w:numId="17">
    <w:abstractNumId w:val="15"/>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8DD"/>
    <w:rsid w:val="00001960"/>
    <w:rsid w:val="00022991"/>
    <w:rsid w:val="00026A79"/>
    <w:rsid w:val="00057B6D"/>
    <w:rsid w:val="00062DED"/>
    <w:rsid w:val="00093B99"/>
    <w:rsid w:val="00095571"/>
    <w:rsid w:val="000A5B33"/>
    <w:rsid w:val="000B343A"/>
    <w:rsid w:val="000B7230"/>
    <w:rsid w:val="000C7B47"/>
    <w:rsid w:val="000D4CCF"/>
    <w:rsid w:val="000D5FC8"/>
    <w:rsid w:val="001004FA"/>
    <w:rsid w:val="0010080A"/>
    <w:rsid w:val="001035A8"/>
    <w:rsid w:val="001272EF"/>
    <w:rsid w:val="0013189B"/>
    <w:rsid w:val="0013294A"/>
    <w:rsid w:val="00147B58"/>
    <w:rsid w:val="00156349"/>
    <w:rsid w:val="0015753E"/>
    <w:rsid w:val="00163A31"/>
    <w:rsid w:val="00170964"/>
    <w:rsid w:val="00184736"/>
    <w:rsid w:val="001C3676"/>
    <w:rsid w:val="001D5542"/>
    <w:rsid w:val="001E3073"/>
    <w:rsid w:val="001E46D0"/>
    <w:rsid w:val="001F63EC"/>
    <w:rsid w:val="002152D4"/>
    <w:rsid w:val="00217FFA"/>
    <w:rsid w:val="00222CE9"/>
    <w:rsid w:val="0022549F"/>
    <w:rsid w:val="00231645"/>
    <w:rsid w:val="00231B64"/>
    <w:rsid w:val="00265B6C"/>
    <w:rsid w:val="00265D20"/>
    <w:rsid w:val="002663CF"/>
    <w:rsid w:val="002718E3"/>
    <w:rsid w:val="00290533"/>
    <w:rsid w:val="00307E62"/>
    <w:rsid w:val="00313DD3"/>
    <w:rsid w:val="00316084"/>
    <w:rsid w:val="003512AD"/>
    <w:rsid w:val="003546A9"/>
    <w:rsid w:val="00363F53"/>
    <w:rsid w:val="003651E4"/>
    <w:rsid w:val="00365AC8"/>
    <w:rsid w:val="00366A59"/>
    <w:rsid w:val="003A18B1"/>
    <w:rsid w:val="003B33A4"/>
    <w:rsid w:val="003B4B65"/>
    <w:rsid w:val="003C1459"/>
    <w:rsid w:val="003C33C7"/>
    <w:rsid w:val="003D09BE"/>
    <w:rsid w:val="003E10C0"/>
    <w:rsid w:val="003E15AC"/>
    <w:rsid w:val="0040706F"/>
    <w:rsid w:val="00407656"/>
    <w:rsid w:val="00414ECD"/>
    <w:rsid w:val="00432781"/>
    <w:rsid w:val="00454B9F"/>
    <w:rsid w:val="00471EAA"/>
    <w:rsid w:val="004833FE"/>
    <w:rsid w:val="0049198E"/>
    <w:rsid w:val="0049740E"/>
    <w:rsid w:val="004A03F0"/>
    <w:rsid w:val="004A436D"/>
    <w:rsid w:val="004B6D18"/>
    <w:rsid w:val="004B7AD9"/>
    <w:rsid w:val="004D3A97"/>
    <w:rsid w:val="004D7D88"/>
    <w:rsid w:val="004E1B7A"/>
    <w:rsid w:val="004E34D8"/>
    <w:rsid w:val="004F1F9F"/>
    <w:rsid w:val="00517560"/>
    <w:rsid w:val="005614A5"/>
    <w:rsid w:val="0057157B"/>
    <w:rsid w:val="0059560F"/>
    <w:rsid w:val="005A2882"/>
    <w:rsid w:val="005B3A7B"/>
    <w:rsid w:val="005B4A7F"/>
    <w:rsid w:val="005C31B1"/>
    <w:rsid w:val="00635BED"/>
    <w:rsid w:val="0064368D"/>
    <w:rsid w:val="0064611A"/>
    <w:rsid w:val="00682BA2"/>
    <w:rsid w:val="00697851"/>
    <w:rsid w:val="006B0F7D"/>
    <w:rsid w:val="006B10F8"/>
    <w:rsid w:val="006C7DA7"/>
    <w:rsid w:val="00703F65"/>
    <w:rsid w:val="00706FD1"/>
    <w:rsid w:val="007144C4"/>
    <w:rsid w:val="00722AFA"/>
    <w:rsid w:val="00722DA5"/>
    <w:rsid w:val="00724B7E"/>
    <w:rsid w:val="007271C4"/>
    <w:rsid w:val="00741095"/>
    <w:rsid w:val="00741237"/>
    <w:rsid w:val="0078181C"/>
    <w:rsid w:val="00797710"/>
    <w:rsid w:val="007C578C"/>
    <w:rsid w:val="007C6A4F"/>
    <w:rsid w:val="007C7A11"/>
    <w:rsid w:val="007E6D75"/>
    <w:rsid w:val="007E7A0E"/>
    <w:rsid w:val="007F4A45"/>
    <w:rsid w:val="007F4D06"/>
    <w:rsid w:val="00811D04"/>
    <w:rsid w:val="00850874"/>
    <w:rsid w:val="008702DB"/>
    <w:rsid w:val="00874675"/>
    <w:rsid w:val="00883D53"/>
    <w:rsid w:val="00887E46"/>
    <w:rsid w:val="00892E9F"/>
    <w:rsid w:val="008A1194"/>
    <w:rsid w:val="008B3477"/>
    <w:rsid w:val="008B62BD"/>
    <w:rsid w:val="008C12D9"/>
    <w:rsid w:val="008C1CAE"/>
    <w:rsid w:val="008C253E"/>
    <w:rsid w:val="008D05A9"/>
    <w:rsid w:val="008D2D67"/>
    <w:rsid w:val="008F5164"/>
    <w:rsid w:val="008F62AC"/>
    <w:rsid w:val="0091011F"/>
    <w:rsid w:val="00916FA2"/>
    <w:rsid w:val="00921C81"/>
    <w:rsid w:val="00922531"/>
    <w:rsid w:val="009309E7"/>
    <w:rsid w:val="00942DD1"/>
    <w:rsid w:val="00947037"/>
    <w:rsid w:val="0095002F"/>
    <w:rsid w:val="009857D0"/>
    <w:rsid w:val="009A0E83"/>
    <w:rsid w:val="009A734E"/>
    <w:rsid w:val="009D4559"/>
    <w:rsid w:val="009D54C5"/>
    <w:rsid w:val="009E0166"/>
    <w:rsid w:val="009F3016"/>
    <w:rsid w:val="009F4DE2"/>
    <w:rsid w:val="009F63C1"/>
    <w:rsid w:val="00A1116B"/>
    <w:rsid w:val="00A3059F"/>
    <w:rsid w:val="00A4103F"/>
    <w:rsid w:val="00A57452"/>
    <w:rsid w:val="00A76EB0"/>
    <w:rsid w:val="00A8081D"/>
    <w:rsid w:val="00A819A1"/>
    <w:rsid w:val="00A86C47"/>
    <w:rsid w:val="00AA043A"/>
    <w:rsid w:val="00AE6823"/>
    <w:rsid w:val="00AF2EA7"/>
    <w:rsid w:val="00AF4268"/>
    <w:rsid w:val="00AF522A"/>
    <w:rsid w:val="00B058A7"/>
    <w:rsid w:val="00B24D14"/>
    <w:rsid w:val="00B36DD4"/>
    <w:rsid w:val="00B45306"/>
    <w:rsid w:val="00B6461B"/>
    <w:rsid w:val="00B70BD0"/>
    <w:rsid w:val="00B7171B"/>
    <w:rsid w:val="00B759FA"/>
    <w:rsid w:val="00B83A47"/>
    <w:rsid w:val="00B9151C"/>
    <w:rsid w:val="00B93CA0"/>
    <w:rsid w:val="00BA6257"/>
    <w:rsid w:val="00BB4687"/>
    <w:rsid w:val="00BC46EC"/>
    <w:rsid w:val="00BC759A"/>
    <w:rsid w:val="00BD229A"/>
    <w:rsid w:val="00BF044E"/>
    <w:rsid w:val="00BF1AC2"/>
    <w:rsid w:val="00C048EA"/>
    <w:rsid w:val="00C06166"/>
    <w:rsid w:val="00C130CE"/>
    <w:rsid w:val="00C2718D"/>
    <w:rsid w:val="00C3172A"/>
    <w:rsid w:val="00C34102"/>
    <w:rsid w:val="00C509DC"/>
    <w:rsid w:val="00C6214E"/>
    <w:rsid w:val="00C872C7"/>
    <w:rsid w:val="00C932CD"/>
    <w:rsid w:val="00CA5FE4"/>
    <w:rsid w:val="00CB5F0D"/>
    <w:rsid w:val="00CB7123"/>
    <w:rsid w:val="00D12300"/>
    <w:rsid w:val="00D16066"/>
    <w:rsid w:val="00D40111"/>
    <w:rsid w:val="00D622BF"/>
    <w:rsid w:val="00D9418A"/>
    <w:rsid w:val="00D94F7D"/>
    <w:rsid w:val="00DD5192"/>
    <w:rsid w:val="00DE2A39"/>
    <w:rsid w:val="00DE778F"/>
    <w:rsid w:val="00E31C20"/>
    <w:rsid w:val="00E35B4E"/>
    <w:rsid w:val="00E3786C"/>
    <w:rsid w:val="00E37A24"/>
    <w:rsid w:val="00E478DD"/>
    <w:rsid w:val="00E5433C"/>
    <w:rsid w:val="00E7205A"/>
    <w:rsid w:val="00E77117"/>
    <w:rsid w:val="00E834B8"/>
    <w:rsid w:val="00E90251"/>
    <w:rsid w:val="00E97EE9"/>
    <w:rsid w:val="00EB4340"/>
    <w:rsid w:val="00ED6975"/>
    <w:rsid w:val="00EE1D35"/>
    <w:rsid w:val="00EE7D0F"/>
    <w:rsid w:val="00EF188D"/>
    <w:rsid w:val="00F00029"/>
    <w:rsid w:val="00F14F5F"/>
    <w:rsid w:val="00F31ED7"/>
    <w:rsid w:val="00F371BB"/>
    <w:rsid w:val="00F51F0C"/>
    <w:rsid w:val="00F667D1"/>
    <w:rsid w:val="00F67DD6"/>
    <w:rsid w:val="00F73101"/>
    <w:rsid w:val="00F84AA0"/>
    <w:rsid w:val="00F85732"/>
    <w:rsid w:val="00F903C2"/>
    <w:rsid w:val="00FB1A2A"/>
    <w:rsid w:val="00FE45C9"/>
    <w:rsid w:val="00FE67C6"/>
    <w:rsid w:val="00FF1B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F30C265"/>
  <w15:docId w15:val="{4A62F7B8-5285-4634-9949-ED30B5DF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759A"/>
    <w:pPr>
      <w:tabs>
        <w:tab w:val="center" w:pos="4320"/>
        <w:tab w:val="right" w:pos="8640"/>
      </w:tabs>
    </w:pPr>
  </w:style>
  <w:style w:type="paragraph" w:styleId="Footer">
    <w:name w:val="footer"/>
    <w:basedOn w:val="Normal"/>
    <w:link w:val="FooterChar"/>
    <w:uiPriority w:val="99"/>
    <w:rsid w:val="00BC759A"/>
    <w:pPr>
      <w:tabs>
        <w:tab w:val="center" w:pos="4320"/>
        <w:tab w:val="right" w:pos="8640"/>
      </w:tabs>
    </w:pPr>
  </w:style>
  <w:style w:type="paragraph" w:styleId="BalloonText">
    <w:name w:val="Balloon Text"/>
    <w:basedOn w:val="Normal"/>
    <w:semiHidden/>
    <w:rsid w:val="00BC759A"/>
    <w:rPr>
      <w:rFonts w:ascii="Tahoma" w:hAnsi="Tahoma" w:cs="Tahoma"/>
      <w:sz w:val="16"/>
      <w:szCs w:val="16"/>
    </w:rPr>
  </w:style>
  <w:style w:type="character" w:customStyle="1" w:styleId="FooterChar">
    <w:name w:val="Footer Char"/>
    <w:link w:val="Footer"/>
    <w:uiPriority w:val="99"/>
    <w:rsid w:val="005B4A7F"/>
    <w:rPr>
      <w:sz w:val="24"/>
      <w:szCs w:val="24"/>
      <w:lang w:val="en-US" w:eastAsia="en-US"/>
    </w:rPr>
  </w:style>
  <w:style w:type="character" w:customStyle="1" w:styleId="HeaderChar">
    <w:name w:val="Header Char"/>
    <w:link w:val="Header"/>
    <w:uiPriority w:val="99"/>
    <w:rsid w:val="005B4A7F"/>
    <w:rPr>
      <w:sz w:val="24"/>
      <w:szCs w:val="24"/>
      <w:lang w:val="en-US" w:eastAsia="en-US"/>
    </w:rPr>
  </w:style>
  <w:style w:type="table" w:styleId="TableGrid">
    <w:name w:val="Table Grid"/>
    <w:basedOn w:val="TableNormal"/>
    <w:uiPriority w:val="59"/>
    <w:rsid w:val="00561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46A9"/>
    <w:pPr>
      <w:ind w:left="720"/>
      <w:contextualSpacing/>
    </w:pPr>
  </w:style>
  <w:style w:type="character" w:styleId="Hyperlink">
    <w:name w:val="Hyperlink"/>
    <w:basedOn w:val="DefaultParagraphFont"/>
    <w:uiPriority w:val="99"/>
    <w:unhideWhenUsed/>
    <w:rsid w:val="001D5542"/>
    <w:rPr>
      <w:color w:val="0000FF" w:themeColor="hyperlink"/>
      <w:u w:val="single"/>
    </w:rPr>
  </w:style>
  <w:style w:type="character" w:styleId="CommentReference">
    <w:name w:val="annotation reference"/>
    <w:basedOn w:val="DefaultParagraphFont"/>
    <w:uiPriority w:val="99"/>
    <w:semiHidden/>
    <w:unhideWhenUsed/>
    <w:rsid w:val="003512AD"/>
    <w:rPr>
      <w:sz w:val="16"/>
      <w:szCs w:val="16"/>
    </w:rPr>
  </w:style>
  <w:style w:type="paragraph" w:styleId="CommentText">
    <w:name w:val="annotation text"/>
    <w:basedOn w:val="Normal"/>
    <w:link w:val="CommentTextChar"/>
    <w:uiPriority w:val="99"/>
    <w:semiHidden/>
    <w:unhideWhenUsed/>
    <w:rsid w:val="003512AD"/>
    <w:rPr>
      <w:sz w:val="20"/>
      <w:szCs w:val="20"/>
    </w:rPr>
  </w:style>
  <w:style w:type="character" w:customStyle="1" w:styleId="CommentTextChar">
    <w:name w:val="Comment Text Char"/>
    <w:basedOn w:val="DefaultParagraphFont"/>
    <w:link w:val="CommentText"/>
    <w:uiPriority w:val="99"/>
    <w:semiHidden/>
    <w:rsid w:val="003512AD"/>
    <w:rPr>
      <w:lang w:val="en-US" w:eastAsia="en-US"/>
    </w:rPr>
  </w:style>
  <w:style w:type="paragraph" w:styleId="CommentSubject">
    <w:name w:val="annotation subject"/>
    <w:basedOn w:val="CommentText"/>
    <w:next w:val="CommentText"/>
    <w:link w:val="CommentSubjectChar"/>
    <w:uiPriority w:val="99"/>
    <w:semiHidden/>
    <w:unhideWhenUsed/>
    <w:rsid w:val="003512AD"/>
    <w:rPr>
      <w:b/>
      <w:bCs/>
    </w:rPr>
  </w:style>
  <w:style w:type="character" w:customStyle="1" w:styleId="CommentSubjectChar">
    <w:name w:val="Comment Subject Char"/>
    <w:basedOn w:val="CommentTextChar"/>
    <w:link w:val="CommentSubject"/>
    <w:uiPriority w:val="99"/>
    <w:semiHidden/>
    <w:rsid w:val="003512A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3290">
      <w:bodyDiv w:val="1"/>
      <w:marLeft w:val="0"/>
      <w:marRight w:val="0"/>
      <w:marTop w:val="0"/>
      <w:marBottom w:val="0"/>
      <w:divBdr>
        <w:top w:val="none" w:sz="0" w:space="0" w:color="auto"/>
        <w:left w:val="none" w:sz="0" w:space="0" w:color="auto"/>
        <w:bottom w:val="none" w:sz="0" w:space="0" w:color="auto"/>
        <w:right w:val="none" w:sz="0" w:space="0" w:color="auto"/>
      </w:divBdr>
      <w:divsChild>
        <w:div w:id="298262939">
          <w:marLeft w:val="720"/>
          <w:marRight w:val="0"/>
          <w:marTop w:val="240"/>
          <w:marBottom w:val="0"/>
          <w:divBdr>
            <w:top w:val="none" w:sz="0" w:space="0" w:color="auto"/>
            <w:left w:val="none" w:sz="0" w:space="0" w:color="auto"/>
            <w:bottom w:val="none" w:sz="0" w:space="0" w:color="auto"/>
            <w:right w:val="none" w:sz="0" w:space="0" w:color="auto"/>
          </w:divBdr>
        </w:div>
        <w:div w:id="1472744873">
          <w:marLeft w:val="720"/>
          <w:marRight w:val="0"/>
          <w:marTop w:val="240"/>
          <w:marBottom w:val="0"/>
          <w:divBdr>
            <w:top w:val="none" w:sz="0" w:space="0" w:color="auto"/>
            <w:left w:val="none" w:sz="0" w:space="0" w:color="auto"/>
            <w:bottom w:val="none" w:sz="0" w:space="0" w:color="auto"/>
            <w:right w:val="none" w:sz="0" w:space="0" w:color="auto"/>
          </w:divBdr>
        </w:div>
        <w:div w:id="1111165987">
          <w:marLeft w:val="720"/>
          <w:marRight w:val="0"/>
          <w:marTop w:val="240"/>
          <w:marBottom w:val="0"/>
          <w:divBdr>
            <w:top w:val="none" w:sz="0" w:space="0" w:color="auto"/>
            <w:left w:val="none" w:sz="0" w:space="0" w:color="auto"/>
            <w:bottom w:val="none" w:sz="0" w:space="0" w:color="auto"/>
            <w:right w:val="none" w:sz="0" w:space="0" w:color="auto"/>
          </w:divBdr>
        </w:div>
        <w:div w:id="914974861">
          <w:marLeft w:val="720"/>
          <w:marRight w:val="0"/>
          <w:marTop w:val="240"/>
          <w:marBottom w:val="0"/>
          <w:divBdr>
            <w:top w:val="none" w:sz="0" w:space="0" w:color="auto"/>
            <w:left w:val="none" w:sz="0" w:space="0" w:color="auto"/>
            <w:bottom w:val="none" w:sz="0" w:space="0" w:color="auto"/>
            <w:right w:val="none" w:sz="0" w:space="0" w:color="auto"/>
          </w:divBdr>
        </w:div>
        <w:div w:id="1288120650">
          <w:marLeft w:val="720"/>
          <w:marRight w:val="0"/>
          <w:marTop w:val="240"/>
          <w:marBottom w:val="0"/>
          <w:divBdr>
            <w:top w:val="none" w:sz="0" w:space="0" w:color="auto"/>
            <w:left w:val="none" w:sz="0" w:space="0" w:color="auto"/>
            <w:bottom w:val="none" w:sz="0" w:space="0" w:color="auto"/>
            <w:right w:val="none" w:sz="0" w:space="0" w:color="auto"/>
          </w:divBdr>
        </w:div>
      </w:divsChild>
    </w:div>
    <w:div w:id="357051614">
      <w:bodyDiv w:val="1"/>
      <w:marLeft w:val="0"/>
      <w:marRight w:val="0"/>
      <w:marTop w:val="0"/>
      <w:marBottom w:val="0"/>
      <w:divBdr>
        <w:top w:val="none" w:sz="0" w:space="0" w:color="auto"/>
        <w:left w:val="none" w:sz="0" w:space="0" w:color="auto"/>
        <w:bottom w:val="none" w:sz="0" w:space="0" w:color="auto"/>
        <w:right w:val="none" w:sz="0" w:space="0" w:color="auto"/>
      </w:divBdr>
    </w:div>
    <w:div w:id="107258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D7C5AF2-37AC-4E7C-8AC1-7C312C85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2207</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 of Author Here</dc:creator>
  <cp:lastModifiedBy>McConney, Leah</cp:lastModifiedBy>
  <cp:revision>4</cp:revision>
  <cp:lastPrinted>2006-05-08T15:55:00Z</cp:lastPrinted>
  <dcterms:created xsi:type="dcterms:W3CDTF">2019-05-03T13:53:00Z</dcterms:created>
  <dcterms:modified xsi:type="dcterms:W3CDTF">2019-05-09T16:27:00Z</dcterms:modified>
</cp:coreProperties>
</file>